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3AAEE9" w14:textId="5CAD5A52"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E54B70" w:rsidRPr="008F786B">
        <w:rPr>
          <w:rFonts w:ascii="Arial" w:eastAsia="SimSun" w:hAnsi="Arial" w:cs="Times New Roman"/>
          <w:b/>
          <w:sz w:val="24"/>
          <w:szCs w:val="20"/>
        </w:rPr>
        <w:t>3</w:t>
      </w:r>
      <w:r w:rsidRPr="008F786B">
        <w:rPr>
          <w:rFonts w:ascii="Arial" w:eastAsia="SimSun" w:hAnsi="Arial" w:cs="Times New Roman"/>
          <w:b/>
          <w:bCs/>
          <w:sz w:val="24"/>
          <w:szCs w:val="20"/>
        </w:rPr>
        <w:tab/>
      </w:r>
      <w:r w:rsidRPr="00564E45">
        <w:rPr>
          <w:rFonts w:ascii="Arial" w:eastAsia="SimSun" w:hAnsi="Arial" w:cs="Times New Roman"/>
          <w:b/>
          <w:bCs/>
          <w:sz w:val="24"/>
          <w:szCs w:val="20"/>
          <w:lang w:eastAsia="ja-JP"/>
        </w:rPr>
        <w:t>R4-</w:t>
      </w:r>
      <w:r w:rsidR="00AE2BA5" w:rsidRPr="00564E45">
        <w:rPr>
          <w:rFonts w:ascii="Arial" w:eastAsia="SimSun" w:hAnsi="Arial" w:cs="Times New Roman"/>
          <w:b/>
          <w:bCs/>
          <w:sz w:val="24"/>
          <w:szCs w:val="20"/>
          <w:lang w:eastAsia="zh-CN"/>
        </w:rPr>
        <w:t>2</w:t>
      </w:r>
      <w:r w:rsidR="00E51930" w:rsidRPr="00564E45">
        <w:rPr>
          <w:rFonts w:ascii="Arial" w:eastAsia="SimSun" w:hAnsi="Arial" w:cs="Times New Roman"/>
          <w:b/>
          <w:bCs/>
          <w:sz w:val="24"/>
          <w:szCs w:val="20"/>
          <w:lang w:eastAsia="zh-CN"/>
        </w:rPr>
        <w:t>4</w:t>
      </w:r>
      <w:r w:rsidR="004D1731" w:rsidRPr="00564E45">
        <w:rPr>
          <w:rFonts w:ascii="Arial" w:eastAsia="SimSun" w:hAnsi="Arial" w:cs="Times New Roman"/>
          <w:b/>
          <w:bCs/>
          <w:sz w:val="24"/>
          <w:szCs w:val="20"/>
          <w:lang w:eastAsia="zh-CN"/>
        </w:rPr>
        <w:t>1</w:t>
      </w:r>
      <w:r w:rsidR="00140CB6" w:rsidRPr="00564E45">
        <w:rPr>
          <w:rFonts w:ascii="Arial" w:eastAsia="SimSun" w:hAnsi="Arial" w:cs="Times New Roman"/>
          <w:b/>
          <w:bCs/>
          <w:sz w:val="24"/>
          <w:szCs w:val="20"/>
          <w:lang w:eastAsia="zh-CN"/>
        </w:rPr>
        <w:t>8985</w:t>
      </w:r>
    </w:p>
    <w:p w14:paraId="0C54F95D" w14:textId="77777777" w:rsidR="00841BCD" w:rsidRPr="008F786B" w:rsidRDefault="00E54B70"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8F786B">
        <w:rPr>
          <w:rFonts w:ascii="Arial" w:eastAsia="SimSun" w:hAnsi="Arial" w:cs="Times New Roman"/>
          <w:b/>
          <w:sz w:val="24"/>
          <w:szCs w:val="20"/>
        </w:rPr>
        <w:t>Orlando</w:t>
      </w:r>
      <w:r w:rsidR="002B69F3" w:rsidRPr="008F786B">
        <w:rPr>
          <w:rFonts w:ascii="Arial" w:eastAsia="SimSun" w:hAnsi="Arial" w:cs="Times New Roman"/>
          <w:b/>
          <w:sz w:val="24"/>
          <w:szCs w:val="20"/>
        </w:rPr>
        <w:t>,</w:t>
      </w:r>
      <w:r w:rsidRPr="008F786B">
        <w:rPr>
          <w:rFonts w:ascii="Arial" w:eastAsia="SimSun" w:hAnsi="Arial" w:cs="Times New Roman"/>
          <w:b/>
          <w:sz w:val="24"/>
          <w:szCs w:val="20"/>
        </w:rPr>
        <w:t xml:space="preserve"> US</w:t>
      </w:r>
      <w:r w:rsidR="002B69F3" w:rsidRPr="008F786B">
        <w:rPr>
          <w:rFonts w:ascii="Arial" w:eastAsia="SimSun" w:hAnsi="Arial" w:cs="Times New Roman"/>
          <w:b/>
          <w:sz w:val="24"/>
          <w:szCs w:val="20"/>
        </w:rPr>
        <w:t xml:space="preserve">, </w:t>
      </w:r>
      <w:r w:rsidRPr="008F786B">
        <w:rPr>
          <w:rFonts w:ascii="Arial" w:eastAsia="SimSun" w:hAnsi="Arial" w:cs="Times New Roman"/>
          <w:b/>
          <w:sz w:val="24"/>
          <w:szCs w:val="20"/>
        </w:rPr>
        <w:t>Nov</w:t>
      </w:r>
      <w:r w:rsidR="00E51930" w:rsidRPr="008F786B">
        <w:rPr>
          <w:rFonts w:ascii="Arial" w:eastAsia="SimSun" w:hAnsi="Arial" w:cs="Times New Roman"/>
          <w:b/>
          <w:sz w:val="24"/>
          <w:szCs w:val="20"/>
        </w:rPr>
        <w:t xml:space="preserve"> </w:t>
      </w:r>
      <w:r w:rsidR="00E82B94" w:rsidRPr="008F786B">
        <w:rPr>
          <w:rFonts w:ascii="Arial" w:eastAsia="SimSun" w:hAnsi="Arial" w:cs="Times New Roman"/>
          <w:b/>
          <w:sz w:val="24"/>
          <w:szCs w:val="20"/>
        </w:rPr>
        <w:t>1</w:t>
      </w:r>
      <w:r w:rsidRPr="008F786B">
        <w:rPr>
          <w:rFonts w:ascii="Arial" w:eastAsia="SimSun" w:hAnsi="Arial" w:cs="Times New Roman"/>
          <w:b/>
          <w:sz w:val="24"/>
          <w:szCs w:val="20"/>
        </w:rPr>
        <w:t>8</w:t>
      </w:r>
      <w:r w:rsidR="0023559D">
        <w:rPr>
          <w:rFonts w:ascii="Arial" w:eastAsia="SimSun" w:hAnsi="Arial" w:cs="Times New Roman"/>
          <w:b/>
          <w:sz w:val="24"/>
          <w:szCs w:val="20"/>
        </w:rPr>
        <w:t>th</w:t>
      </w:r>
      <w:r w:rsidR="002B69F3" w:rsidRPr="008F786B">
        <w:rPr>
          <w:rFonts w:ascii="Arial" w:eastAsia="SimSun" w:hAnsi="Arial" w:cs="Times New Roman"/>
          <w:b/>
          <w:sz w:val="24"/>
          <w:szCs w:val="20"/>
        </w:rPr>
        <w:t xml:space="preserve"> –</w:t>
      </w:r>
      <w:r w:rsidR="00A246F7" w:rsidRPr="008F786B">
        <w:rPr>
          <w:rFonts w:ascii="Arial" w:eastAsia="SimSun" w:hAnsi="Arial" w:cs="Times New Roman"/>
          <w:b/>
          <w:sz w:val="24"/>
          <w:szCs w:val="20"/>
        </w:rPr>
        <w:t xml:space="preserve"> </w:t>
      </w:r>
      <w:r w:rsidRPr="008F786B">
        <w:rPr>
          <w:rFonts w:ascii="Arial" w:eastAsia="SimSun" w:hAnsi="Arial" w:cs="Times New Roman"/>
          <w:b/>
          <w:sz w:val="24"/>
          <w:szCs w:val="20"/>
        </w:rPr>
        <w:t>Nov</w:t>
      </w:r>
      <w:r w:rsidR="00E51930" w:rsidRPr="008F786B">
        <w:rPr>
          <w:rFonts w:ascii="Arial" w:eastAsia="SimSun" w:hAnsi="Arial" w:cs="Times New Roman"/>
          <w:b/>
          <w:sz w:val="24"/>
          <w:szCs w:val="20"/>
        </w:rPr>
        <w:t xml:space="preserve"> </w:t>
      </w:r>
      <w:r w:rsidRPr="008F786B">
        <w:rPr>
          <w:rFonts w:ascii="Arial" w:eastAsia="SimSun" w:hAnsi="Arial" w:cs="Times New Roman"/>
          <w:b/>
          <w:sz w:val="24"/>
          <w:szCs w:val="20"/>
        </w:rPr>
        <w:t>22</w:t>
      </w:r>
      <w:r w:rsidR="0023559D">
        <w:rPr>
          <w:rFonts w:ascii="Arial" w:eastAsia="SimSun" w:hAnsi="Arial" w:cs="Times New Roman"/>
          <w:b/>
          <w:sz w:val="24"/>
          <w:szCs w:val="20"/>
        </w:rPr>
        <w:t>nd</w:t>
      </w:r>
      <w:r w:rsidR="002B69F3" w:rsidRPr="008F786B">
        <w:rPr>
          <w:rFonts w:ascii="Arial" w:eastAsia="SimSun" w:hAnsi="Arial" w:cs="Times New Roman"/>
          <w:b/>
          <w:sz w:val="24"/>
          <w:szCs w:val="20"/>
        </w:rPr>
        <w:t>, 202</w:t>
      </w:r>
      <w:r w:rsidR="00381F95" w:rsidRPr="008F786B">
        <w:rPr>
          <w:rFonts w:ascii="Arial" w:eastAsia="SimSun" w:hAnsi="Arial" w:cs="Times New Roman"/>
          <w:b/>
          <w:sz w:val="24"/>
          <w:szCs w:val="20"/>
        </w:rPr>
        <w:t>4</w:t>
      </w:r>
    </w:p>
    <w:bookmarkEnd w:id="0"/>
    <w:bookmarkEnd w:id="1"/>
    <w:p w14:paraId="32EF1AA9"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9DE8FE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0A424CFC" w14:textId="237DCADA"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proofErr w:type="spellStart"/>
      <w:r w:rsidR="00F74E46" w:rsidRPr="00F74E46">
        <w:rPr>
          <w:rFonts w:ascii="Arial" w:eastAsia="Calibri" w:hAnsi="Arial" w:cs="Arial"/>
          <w:b/>
          <w:bCs/>
          <w:sz w:val="24"/>
        </w:rPr>
        <w:t>RedCap</w:t>
      </w:r>
      <w:proofErr w:type="spellEnd"/>
      <w:r w:rsidR="00F74E46" w:rsidRPr="00F74E46">
        <w:rPr>
          <w:rFonts w:ascii="Arial" w:eastAsia="Calibri" w:hAnsi="Arial" w:cs="Arial"/>
          <w:b/>
          <w:bCs/>
          <w:sz w:val="24"/>
        </w:rPr>
        <w:t xml:space="preserve"> NTN UEs</w:t>
      </w:r>
    </w:p>
    <w:p w14:paraId="2C901366" w14:textId="0B5FBAAD" w:rsidR="00841BCD" w:rsidRPr="00BD1A69" w:rsidRDefault="00841BCD" w:rsidP="00841BCD">
      <w:pPr>
        <w:tabs>
          <w:tab w:val="left" w:pos="1985"/>
        </w:tabs>
        <w:spacing w:after="120" w:line="240" w:lineRule="auto"/>
        <w:rPr>
          <w:rFonts w:ascii="Arial" w:eastAsia="MS Mincho" w:hAnsi="Arial" w:cs="Arial"/>
          <w:b/>
          <w:bCs/>
          <w:sz w:val="24"/>
          <w:szCs w:val="20"/>
          <w:lang w:val="pt-BR"/>
        </w:rPr>
      </w:pPr>
      <w:r w:rsidRPr="00BD1A69">
        <w:rPr>
          <w:rFonts w:ascii="Arial" w:eastAsia="MS Mincho" w:hAnsi="Arial" w:cs="Arial"/>
          <w:b/>
          <w:bCs/>
          <w:sz w:val="24"/>
          <w:szCs w:val="20"/>
          <w:lang w:val="pt-BR"/>
        </w:rPr>
        <w:t>Agenda item:</w:t>
      </w:r>
      <w:r w:rsidRPr="00BD1A69">
        <w:rPr>
          <w:rFonts w:ascii="Arial" w:eastAsia="MS Mincho" w:hAnsi="Arial" w:cs="Arial"/>
          <w:b/>
          <w:bCs/>
          <w:sz w:val="24"/>
          <w:szCs w:val="20"/>
          <w:lang w:val="pt-BR"/>
        </w:rPr>
        <w:tab/>
      </w:r>
      <w:r w:rsidR="00564E45">
        <w:rPr>
          <w:rFonts w:ascii="Arial" w:eastAsia="MS Mincho" w:hAnsi="Arial" w:cs="Arial"/>
          <w:b/>
          <w:bCs/>
          <w:sz w:val="24"/>
          <w:szCs w:val="20"/>
          <w:lang w:val="pt-BR"/>
        </w:rPr>
        <w:t>7.26.2.1</w:t>
      </w:r>
    </w:p>
    <w:p w14:paraId="2E44FE35" w14:textId="77777777" w:rsidR="00D66188" w:rsidRPr="00BD1A69" w:rsidRDefault="00841BCD" w:rsidP="00841BCD">
      <w:pPr>
        <w:tabs>
          <w:tab w:val="left" w:pos="1985"/>
        </w:tabs>
        <w:rPr>
          <w:rFonts w:ascii="Arial" w:eastAsia="Calibri" w:hAnsi="Arial" w:cs="Arial"/>
          <w:b/>
          <w:bCs/>
          <w:sz w:val="24"/>
          <w:lang w:val="pt-BR"/>
        </w:rPr>
      </w:pPr>
      <w:proofErr w:type="spellStart"/>
      <w:r w:rsidRPr="00BD1A69">
        <w:rPr>
          <w:rFonts w:ascii="Arial" w:eastAsia="Calibri" w:hAnsi="Arial" w:cs="Arial"/>
          <w:b/>
          <w:bCs/>
          <w:sz w:val="24"/>
          <w:lang w:val="pt-BR"/>
        </w:rPr>
        <w:t>Document</w:t>
      </w:r>
      <w:proofErr w:type="spellEnd"/>
      <w:r w:rsidRPr="00BD1A69">
        <w:rPr>
          <w:rFonts w:ascii="Arial" w:eastAsia="Calibri" w:hAnsi="Arial" w:cs="Arial"/>
          <w:b/>
          <w:bCs/>
          <w:sz w:val="24"/>
          <w:lang w:val="pt-BR"/>
        </w:rPr>
        <w:t xml:space="preserve"> for:</w:t>
      </w:r>
      <w:r w:rsidRPr="00BD1A69">
        <w:rPr>
          <w:rFonts w:ascii="Arial" w:eastAsia="Calibri" w:hAnsi="Arial" w:cs="Arial"/>
          <w:b/>
          <w:bCs/>
          <w:sz w:val="24"/>
          <w:lang w:val="pt-BR"/>
        </w:rPr>
        <w:tab/>
      </w:r>
      <w:proofErr w:type="spellStart"/>
      <w:r w:rsidR="00AE6D09" w:rsidRPr="00BD1A69">
        <w:rPr>
          <w:rFonts w:ascii="Arial" w:eastAsia="Calibri" w:hAnsi="Arial" w:cs="Arial"/>
          <w:b/>
          <w:bCs/>
          <w:sz w:val="24"/>
          <w:lang w:val="pt-BR"/>
        </w:rPr>
        <w:t>Discussion</w:t>
      </w:r>
      <w:proofErr w:type="spellEnd"/>
    </w:p>
    <w:p w14:paraId="27D8FC0A" w14:textId="77777777" w:rsidR="00E323E9" w:rsidRPr="00BD1A69" w:rsidRDefault="00E323E9" w:rsidP="00841BCD">
      <w:pPr>
        <w:tabs>
          <w:tab w:val="left" w:pos="1985"/>
        </w:tabs>
        <w:rPr>
          <w:rFonts w:ascii="Arial" w:eastAsia="Calibri" w:hAnsi="Arial" w:cs="Arial"/>
          <w:b/>
          <w:bCs/>
          <w:sz w:val="24"/>
          <w:lang w:val="pt-BR"/>
        </w:rPr>
      </w:pPr>
    </w:p>
    <w:p w14:paraId="4A49DBBB"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38311320" w14:textId="77777777" w:rsidR="00827355" w:rsidRPr="00614DD8" w:rsidRDefault="00827355" w:rsidP="00827355">
      <w:pPr>
        <w:rPr>
          <w:lang w:val="en-US"/>
        </w:rPr>
      </w:pPr>
      <w:r>
        <w:rPr>
          <w:lang w:val="en-US"/>
        </w:rPr>
        <w:t>In this paper, we provide our views on the s</w:t>
      </w:r>
      <w:r w:rsidRPr="00E721CF">
        <w:rPr>
          <w:lang w:val="en-US"/>
        </w:rPr>
        <w:t>uppor</w:t>
      </w:r>
      <w:r>
        <w:rPr>
          <w:lang w:val="en-US"/>
        </w:rPr>
        <w:t>t</w:t>
      </w:r>
      <w:r w:rsidRPr="00E721CF">
        <w:rPr>
          <w:rFonts w:eastAsia="Malgun Gothic"/>
          <w:lang w:val="en-US" w:eastAsia="ko-KR"/>
        </w:rPr>
        <w:t xml:space="preserve"> </w:t>
      </w:r>
      <w:r w:rsidRPr="009431DD">
        <w:rPr>
          <w:rFonts w:eastAsia="Malgun Gothic"/>
          <w:lang w:val="en-US" w:eastAsia="ko-KR"/>
        </w:rPr>
        <w:t xml:space="preserve">of Rel-17 </w:t>
      </w:r>
      <w:proofErr w:type="spellStart"/>
      <w:r w:rsidRPr="009431DD">
        <w:rPr>
          <w:rFonts w:eastAsia="Malgun Gothic"/>
          <w:lang w:val="en-US" w:eastAsia="ko-KR"/>
        </w:rPr>
        <w:t>RedCap</w:t>
      </w:r>
      <w:proofErr w:type="spellEnd"/>
      <w:r w:rsidRPr="009431DD">
        <w:rPr>
          <w:rFonts w:eastAsia="Malgun Gothic"/>
          <w:lang w:val="en-US" w:eastAsia="ko-KR"/>
        </w:rPr>
        <w:t xml:space="preserve"> and Rel-18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r>
        <w:rPr>
          <w:rFonts w:eastAsia="Malgun Gothic"/>
          <w:lang w:val="en-US" w:eastAsia="ko-KR"/>
        </w:rPr>
        <w:t xml:space="preserve">. </w:t>
      </w:r>
      <w:proofErr w:type="spellStart"/>
      <w:r>
        <w:rPr>
          <w:rFonts w:eastAsia="Malgun Gothic"/>
          <w:lang w:val="en-US" w:eastAsia="ko-KR"/>
        </w:rPr>
        <w:t>RedCap</w:t>
      </w:r>
      <w:proofErr w:type="spellEnd"/>
      <w:r>
        <w:rPr>
          <w:rFonts w:eastAsia="Malgun Gothic"/>
          <w:lang w:val="en-US" w:eastAsia="ko-KR"/>
        </w:rPr>
        <w:t xml:space="preserve"> specific ob</w:t>
      </w:r>
      <w:r>
        <w:rPr>
          <w:lang w:val="en-US"/>
        </w:rPr>
        <w:t xml:space="preserve">jectives mentioned in the WID </w:t>
      </w:r>
      <w:r>
        <w:rPr>
          <w:lang w:val="en-US"/>
        </w:rPr>
        <w:fldChar w:fldCharType="begin"/>
      </w:r>
      <w:r>
        <w:rPr>
          <w:lang w:val="en-US"/>
        </w:rPr>
        <w:instrText xml:space="preserve"> REF _Ref178760918 \r \h </w:instrText>
      </w:r>
      <w:r>
        <w:rPr>
          <w:lang w:val="en-US"/>
        </w:rPr>
      </w:r>
      <w:r>
        <w:rPr>
          <w:lang w:val="en-US"/>
        </w:rPr>
        <w:fldChar w:fldCharType="separate"/>
      </w:r>
      <w:r>
        <w:rPr>
          <w:lang w:val="en-US"/>
        </w:rPr>
        <w:t>[1]</w:t>
      </w:r>
      <w:r>
        <w:rPr>
          <w:lang w:val="en-US"/>
        </w:rPr>
        <w:fldChar w:fldCharType="end"/>
      </w:r>
      <w:r>
        <w:rPr>
          <w:lang w:val="en-US"/>
        </w:rPr>
        <w:t xml:space="preserve"> are copied below for ease of reading.</w:t>
      </w:r>
    </w:p>
    <w:p w14:paraId="4DB789D7" w14:textId="77777777" w:rsidR="00827355" w:rsidRPr="00614DD8" w:rsidRDefault="00827355" w:rsidP="00827355">
      <w:pPr>
        <w:rPr>
          <w:lang w:val="en-US"/>
        </w:rPr>
      </w:pPr>
      <w:r>
        <w:rPr>
          <w:lang w:val="en-US"/>
        </w:rPr>
        <w:t>Objectives</w:t>
      </w:r>
      <w:r w:rsidRPr="00614DD8">
        <w:rPr>
          <w:lang w:val="en-US"/>
        </w:rPr>
        <w:t>:</w:t>
      </w:r>
    </w:p>
    <w:tbl>
      <w:tblPr>
        <w:tblStyle w:val="TableGrid"/>
        <w:tblW w:w="0" w:type="auto"/>
        <w:tblLook w:val="04A0" w:firstRow="1" w:lastRow="0" w:firstColumn="1" w:lastColumn="0" w:noHBand="0" w:noVBand="1"/>
      </w:tblPr>
      <w:tblGrid>
        <w:gridCol w:w="9617"/>
      </w:tblGrid>
      <w:tr w:rsidR="00827355" w:rsidRPr="00614DD8" w14:paraId="65B5A7BA" w14:textId="77777777" w:rsidTr="00A351DB">
        <w:tc>
          <w:tcPr>
            <w:tcW w:w="9617" w:type="dxa"/>
          </w:tcPr>
          <w:p w14:paraId="152FE76F" w14:textId="77777777" w:rsidR="00827355" w:rsidRPr="009431DD" w:rsidRDefault="00827355" w:rsidP="00827355">
            <w:pPr>
              <w:numPr>
                <w:ilvl w:val="0"/>
                <w:numId w:val="29"/>
              </w:numPr>
              <w:overflowPunct w:val="0"/>
              <w:autoSpaceDE w:val="0"/>
              <w:autoSpaceDN w:val="0"/>
              <w:adjustRightInd w:val="0"/>
              <w:spacing w:line="276" w:lineRule="auto"/>
              <w:textAlignment w:val="baseline"/>
              <w:rPr>
                <w:rFonts w:eastAsia="Malgun Gothic"/>
                <w:lang w:val="en-US" w:eastAsia="ko-KR"/>
              </w:rPr>
            </w:pPr>
            <w:bookmarkStart w:id="4" w:name="_Hlk166226955"/>
            <w:r w:rsidRPr="009431DD">
              <w:rPr>
                <w:rFonts w:eastAsia="Malgun Gothic"/>
                <w:lang w:val="en-US" w:eastAsia="ko-KR"/>
              </w:rPr>
              <w:t xml:space="preserve">Support of Rel-17 </w:t>
            </w:r>
            <w:proofErr w:type="spellStart"/>
            <w:r w:rsidRPr="009431DD">
              <w:rPr>
                <w:rFonts w:eastAsia="Malgun Gothic"/>
                <w:lang w:val="en-US" w:eastAsia="ko-KR"/>
              </w:rPr>
              <w:t>RedCap</w:t>
            </w:r>
            <w:proofErr w:type="spellEnd"/>
            <w:r w:rsidRPr="009431DD">
              <w:rPr>
                <w:rFonts w:eastAsia="Malgun Gothic"/>
                <w:lang w:val="en-US" w:eastAsia="ko-KR"/>
              </w:rPr>
              <w:t xml:space="preserve"> and Rel-18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 [RAN4, RAN1]</w:t>
            </w:r>
          </w:p>
          <w:p w14:paraId="69CE3722" w14:textId="77777777" w:rsidR="00827355" w:rsidRPr="009431DD" w:rsidRDefault="00827355" w:rsidP="00827355">
            <w:pPr>
              <w:pStyle w:val="ListParagraph"/>
              <w:widowControl w:val="0"/>
              <w:numPr>
                <w:ilvl w:val="0"/>
                <w:numId w:val="30"/>
              </w:numPr>
              <w:spacing w:line="276" w:lineRule="auto"/>
              <w:jc w:val="both"/>
              <w:rPr>
                <w:szCs w:val="20"/>
              </w:rPr>
            </w:pPr>
            <w:r w:rsidRPr="009431DD">
              <w:rPr>
                <w:szCs w:val="20"/>
              </w:rPr>
              <w:t xml:space="preserve">For full-duplex FDD </w:t>
            </w:r>
            <w:proofErr w:type="spellStart"/>
            <w:r w:rsidRPr="009431DD">
              <w:rPr>
                <w:szCs w:val="20"/>
              </w:rPr>
              <w:t>RedCap</w:t>
            </w:r>
            <w:proofErr w:type="spellEnd"/>
            <w:r w:rsidRPr="009431DD">
              <w:rPr>
                <w:szCs w:val="20"/>
              </w:rPr>
              <w:t xml:space="preserve"> and </w:t>
            </w:r>
            <w:proofErr w:type="spellStart"/>
            <w:r w:rsidRPr="009431DD">
              <w:rPr>
                <w:szCs w:val="20"/>
              </w:rPr>
              <w:t>eRedCap</w:t>
            </w:r>
            <w:proofErr w:type="spellEnd"/>
            <w:r w:rsidRPr="009431DD">
              <w:rPr>
                <w:szCs w:val="20"/>
              </w:rPr>
              <w:t xml:space="preserve"> UEs, define the RF and RRM requirements [RAN4]</w:t>
            </w:r>
          </w:p>
          <w:p w14:paraId="2725FAD4" w14:textId="77777777" w:rsidR="00827355" w:rsidRPr="009431DD" w:rsidRDefault="00827355" w:rsidP="00827355">
            <w:pPr>
              <w:pStyle w:val="ListParagraph"/>
              <w:widowControl w:val="0"/>
              <w:numPr>
                <w:ilvl w:val="0"/>
                <w:numId w:val="30"/>
              </w:numPr>
              <w:spacing w:line="276" w:lineRule="auto"/>
              <w:jc w:val="both"/>
              <w:rPr>
                <w:szCs w:val="20"/>
              </w:rPr>
            </w:pPr>
            <w:r w:rsidRPr="009431DD">
              <w:rPr>
                <w:szCs w:val="20"/>
              </w:rPr>
              <w:t xml:space="preserve">For HD-FDD </w:t>
            </w:r>
            <w:proofErr w:type="spellStart"/>
            <w:r w:rsidRPr="009431DD">
              <w:rPr>
                <w:szCs w:val="20"/>
              </w:rPr>
              <w:t>RedCap</w:t>
            </w:r>
            <w:proofErr w:type="spellEnd"/>
            <w:r w:rsidRPr="009431DD">
              <w:rPr>
                <w:szCs w:val="20"/>
              </w:rPr>
              <w:t xml:space="preserve"> UEs and </w:t>
            </w:r>
            <w:proofErr w:type="spellStart"/>
            <w:r w:rsidRPr="009431DD">
              <w:rPr>
                <w:szCs w:val="20"/>
              </w:rPr>
              <w:t>eRedCap</w:t>
            </w:r>
            <w:proofErr w:type="spellEnd"/>
            <w:r w:rsidRPr="009431DD">
              <w:rPr>
                <w:szCs w:val="20"/>
              </w:rPr>
              <w:t xml:space="preserve"> UEs, check whether any essential changes are needed for their support (i.e. focusing on HD collision rules) by end of Q2/2024 [RAN1]</w:t>
            </w:r>
          </w:p>
          <w:p w14:paraId="77146AEF" w14:textId="77777777" w:rsidR="00827355" w:rsidRPr="009431DD" w:rsidRDefault="00827355" w:rsidP="00827355">
            <w:pPr>
              <w:pStyle w:val="ListParagraph"/>
              <w:widowControl w:val="0"/>
              <w:numPr>
                <w:ilvl w:val="1"/>
                <w:numId w:val="30"/>
              </w:numPr>
              <w:spacing w:line="276" w:lineRule="auto"/>
              <w:jc w:val="both"/>
              <w:rPr>
                <w:szCs w:val="20"/>
              </w:rPr>
            </w:pPr>
            <w:r w:rsidRPr="009431DD">
              <w:rPr>
                <w:szCs w:val="20"/>
              </w:rPr>
              <w:t>Depending on feasibility assessment above, define the RF and RRM requirements [RAN4]</w:t>
            </w:r>
          </w:p>
          <w:p w14:paraId="65573D72" w14:textId="77777777" w:rsidR="00827355" w:rsidRPr="009431DD" w:rsidRDefault="00827355" w:rsidP="00827355">
            <w:pPr>
              <w:pStyle w:val="ListParagraph"/>
              <w:widowControl w:val="0"/>
              <w:numPr>
                <w:ilvl w:val="0"/>
                <w:numId w:val="30"/>
              </w:numPr>
              <w:spacing w:line="276" w:lineRule="auto"/>
              <w:jc w:val="both"/>
              <w:rPr>
                <w:szCs w:val="20"/>
              </w:rPr>
            </w:pPr>
            <w:r w:rsidRPr="009431DD">
              <w:rPr>
                <w:szCs w:val="20"/>
              </w:rPr>
              <w:t>Notes for this objective:</w:t>
            </w:r>
          </w:p>
          <w:p w14:paraId="5EDD2A89" w14:textId="77777777" w:rsidR="00827355" w:rsidRPr="00270E4D" w:rsidRDefault="00827355" w:rsidP="00A351DB">
            <w:pPr>
              <w:rPr>
                <w:szCs w:val="20"/>
              </w:rPr>
            </w:pPr>
            <w:r w:rsidRPr="009431DD">
              <w:rPr>
                <w:szCs w:val="20"/>
              </w:rPr>
              <w:t xml:space="preserve">GNSS (Global Navigation Satellite Systems) capabilities and simultaneous GNSS and NR-NTN operation is supported in </w:t>
            </w:r>
            <w:proofErr w:type="spellStart"/>
            <w:r w:rsidRPr="009431DD">
              <w:rPr>
                <w:szCs w:val="20"/>
              </w:rPr>
              <w:t>RedCap</w:t>
            </w:r>
            <w:proofErr w:type="spellEnd"/>
            <w:r w:rsidRPr="009431DD">
              <w:rPr>
                <w:szCs w:val="20"/>
              </w:rPr>
              <w:t>/</w:t>
            </w:r>
            <w:proofErr w:type="spellStart"/>
            <w:r w:rsidRPr="009431DD">
              <w:rPr>
                <w:szCs w:val="20"/>
              </w:rPr>
              <w:t>eRedCap</w:t>
            </w:r>
            <w:proofErr w:type="spellEnd"/>
            <w:r w:rsidRPr="009431DD">
              <w:rPr>
                <w:szCs w:val="20"/>
              </w:rPr>
              <w:t xml:space="preserve"> UE.</w:t>
            </w:r>
          </w:p>
        </w:tc>
      </w:tr>
      <w:bookmarkEnd w:id="4"/>
    </w:tbl>
    <w:p w14:paraId="57677CF1" w14:textId="77777777" w:rsidR="00827355" w:rsidRDefault="00827355" w:rsidP="007E4668"/>
    <w:p w14:paraId="0E7F7572" w14:textId="1AA8C3AD" w:rsidR="007E4668" w:rsidRPr="008F786B" w:rsidRDefault="007E4668" w:rsidP="007E4668">
      <w:r w:rsidRPr="008F786B">
        <w:t xml:space="preserve">In the last RAN4 meeting, the following agreements were made </w:t>
      </w:r>
      <w:r w:rsidR="005E29C9">
        <w:fldChar w:fldCharType="begin"/>
      </w:r>
      <w:r w:rsidR="005E29C9">
        <w:instrText xml:space="preserve"> REF _Ref181694816 \r \h </w:instrText>
      </w:r>
      <w:r w:rsidR="005E29C9">
        <w:fldChar w:fldCharType="separate"/>
      </w:r>
      <w:r w:rsidR="005E29C9">
        <w:t>[1]</w:t>
      </w:r>
      <w:r w:rsidR="005E29C9">
        <w:fldChar w:fldCharType="end"/>
      </w:r>
      <w:r w:rsidR="005E29C9">
        <w:t>.</w:t>
      </w:r>
    </w:p>
    <w:tbl>
      <w:tblPr>
        <w:tblStyle w:val="TableGrid"/>
        <w:tblW w:w="0" w:type="auto"/>
        <w:tblLook w:val="04A0" w:firstRow="1" w:lastRow="0" w:firstColumn="1" w:lastColumn="0" w:noHBand="0" w:noVBand="1"/>
      </w:tblPr>
      <w:tblGrid>
        <w:gridCol w:w="9617"/>
      </w:tblGrid>
      <w:tr w:rsidR="007E4668" w:rsidRPr="008F786B" w14:paraId="559A4830" w14:textId="77777777" w:rsidTr="007E4668">
        <w:tc>
          <w:tcPr>
            <w:tcW w:w="9617" w:type="dxa"/>
          </w:tcPr>
          <w:p w14:paraId="157C6B49" w14:textId="77777777" w:rsidR="005E29C9" w:rsidRPr="0045183A" w:rsidRDefault="005E29C9" w:rsidP="005E29C9">
            <w:pPr>
              <w:pStyle w:val="Heading2"/>
              <w:rPr>
                <w:b/>
                <w:lang w:eastAsia="zh-CN"/>
              </w:rPr>
            </w:pPr>
            <w:r w:rsidRPr="00A70D92">
              <w:lastRenderedPageBreak/>
              <w:t>Issue 1-</w:t>
            </w:r>
            <w:r>
              <w:t>1</w:t>
            </w:r>
            <w:r w:rsidRPr="00A70D92">
              <w:t xml:space="preserve">: </w:t>
            </w:r>
            <w:r>
              <w:t>PC3 output power for HD-FDD (e)</w:t>
            </w:r>
            <w:proofErr w:type="spellStart"/>
            <w:r>
              <w:t>RedCap</w:t>
            </w:r>
            <w:proofErr w:type="spellEnd"/>
          </w:p>
          <w:p w14:paraId="612C8AB6" w14:textId="77777777" w:rsidR="005E29C9" w:rsidRDefault="005E29C9" w:rsidP="005E29C9">
            <w:pPr>
              <w:spacing w:after="120"/>
              <w:rPr>
                <w:lang w:eastAsia="zh-CN"/>
              </w:rPr>
            </w:pPr>
            <w:r w:rsidRPr="00A70D92">
              <w:rPr>
                <w:b/>
                <w:lang w:eastAsia="zh-CN"/>
              </w:rPr>
              <w:t>Agreement</w:t>
            </w:r>
            <w:r w:rsidRPr="00A70D92">
              <w:rPr>
                <w:lang w:eastAsia="zh-CN"/>
              </w:rPr>
              <w:t xml:space="preserve">: </w:t>
            </w:r>
            <w:r>
              <w:rPr>
                <w:lang w:eastAsia="zh-CN"/>
              </w:rPr>
              <w:t>Nominal power for PC3 is 23 dBm.</w:t>
            </w:r>
          </w:p>
          <w:p w14:paraId="04D254FE" w14:textId="77777777" w:rsidR="005E29C9" w:rsidRPr="00A70D92" w:rsidRDefault="005E29C9" w:rsidP="005E29C9">
            <w:pPr>
              <w:spacing w:after="120"/>
              <w:rPr>
                <w:rFonts w:eastAsia="SimSun"/>
                <w:szCs w:val="24"/>
                <w:lang w:eastAsia="zh-CN"/>
              </w:rPr>
            </w:pPr>
          </w:p>
          <w:p w14:paraId="141344D4" w14:textId="77777777" w:rsidR="005E29C9" w:rsidRDefault="005E29C9" w:rsidP="005E29C9">
            <w:pPr>
              <w:pStyle w:val="Heading2"/>
            </w:pPr>
            <w:r w:rsidRPr="00A70D92">
              <w:t xml:space="preserve">Issue 1-2: HD-FDD </w:t>
            </w:r>
            <w:proofErr w:type="spellStart"/>
            <w:r w:rsidRPr="00A70D92">
              <w:t>refsens</w:t>
            </w:r>
            <w:proofErr w:type="spellEnd"/>
            <w:r w:rsidRPr="00A70D92">
              <w:t xml:space="preserve"> for 2 Rx</w:t>
            </w:r>
          </w:p>
          <w:p w14:paraId="42444777" w14:textId="77777777" w:rsidR="005E29C9" w:rsidRPr="008869F8" w:rsidRDefault="005E29C9" w:rsidP="005E29C9">
            <w:pPr>
              <w:spacing w:after="120"/>
              <w:rPr>
                <w:lang w:eastAsia="zh-CN"/>
              </w:rPr>
            </w:pPr>
            <w:r w:rsidRPr="00A70D92">
              <w:rPr>
                <w:b/>
                <w:lang w:eastAsia="zh-CN"/>
              </w:rPr>
              <w:t>Agreement</w:t>
            </w:r>
            <w:r w:rsidRPr="00A70D92">
              <w:rPr>
                <w:lang w:eastAsia="zh-CN"/>
              </w:rPr>
              <w:t>:</w:t>
            </w:r>
            <w:r>
              <w:rPr>
                <w:lang w:eastAsia="zh-CN"/>
              </w:rPr>
              <w:t xml:space="preserve"> Agree n256 </w:t>
            </w:r>
            <w:proofErr w:type="spellStart"/>
            <w:r>
              <w:rPr>
                <w:lang w:eastAsia="zh-CN"/>
              </w:rPr>
              <w:t>Refsens</w:t>
            </w:r>
            <w:proofErr w:type="spellEnd"/>
            <w:r>
              <w:rPr>
                <w:lang w:eastAsia="zh-CN"/>
              </w:rPr>
              <w:t xml:space="preserve">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418"/>
              <w:gridCol w:w="1537"/>
              <w:gridCol w:w="1581"/>
              <w:gridCol w:w="1560"/>
              <w:gridCol w:w="1417"/>
            </w:tblGrid>
            <w:tr w:rsidR="005E29C9" w:rsidRPr="009D508E" w14:paraId="1CE636E3" w14:textId="77777777" w:rsidTr="00A351DB">
              <w:trPr>
                <w:trHeight w:val="187"/>
                <w:tblHeade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507680E3" w14:textId="77777777" w:rsidR="005E29C9" w:rsidRPr="009D508E" w:rsidRDefault="005E29C9" w:rsidP="005E29C9">
                  <w:pPr>
                    <w:pStyle w:val="TAH"/>
                    <w:rPr>
                      <w:szCs w:val="18"/>
                    </w:rPr>
                  </w:pPr>
                  <w:r w:rsidRPr="009D508E">
                    <w:rPr>
                      <w:szCs w:val="18"/>
                    </w:rPr>
                    <w:t>Operating Band</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3B6A71" w14:textId="77777777" w:rsidR="005E29C9" w:rsidRDefault="005E29C9" w:rsidP="005E29C9">
                  <w:pPr>
                    <w:pStyle w:val="TAH"/>
                    <w:rPr>
                      <w:szCs w:val="18"/>
                    </w:rPr>
                  </w:pPr>
                  <w:r w:rsidRPr="009D508E">
                    <w:rPr>
                      <w:szCs w:val="18"/>
                    </w:rPr>
                    <w:t>SCS</w:t>
                  </w:r>
                </w:p>
                <w:p w14:paraId="1B6F530F" w14:textId="77777777" w:rsidR="005E29C9" w:rsidRPr="009D508E" w:rsidRDefault="005E29C9" w:rsidP="005E29C9">
                  <w:pPr>
                    <w:pStyle w:val="TAH"/>
                    <w:rPr>
                      <w:szCs w:val="18"/>
                    </w:rPr>
                  </w:pPr>
                  <w:r>
                    <w:rPr>
                      <w:szCs w:val="18"/>
                    </w:rPr>
                    <w:t>(</w:t>
                  </w:r>
                  <w:r w:rsidRPr="009D508E">
                    <w:rPr>
                      <w:szCs w:val="18"/>
                    </w:rPr>
                    <w:t>kHz</w:t>
                  </w:r>
                  <w:r>
                    <w:rPr>
                      <w:szCs w:val="18"/>
                    </w:rPr>
                    <w:t>)</w:t>
                  </w:r>
                </w:p>
              </w:tc>
              <w:tc>
                <w:tcPr>
                  <w:tcW w:w="1537" w:type="dxa"/>
                  <w:tcBorders>
                    <w:top w:val="single" w:sz="4" w:space="0" w:color="auto"/>
                    <w:left w:val="single" w:sz="4" w:space="0" w:color="auto"/>
                    <w:bottom w:val="single" w:sz="4" w:space="0" w:color="auto"/>
                    <w:right w:val="single" w:sz="4" w:space="0" w:color="auto"/>
                  </w:tcBorders>
                  <w:vAlign w:val="center"/>
                  <w:hideMark/>
                </w:tcPr>
                <w:p w14:paraId="18D23068" w14:textId="77777777" w:rsidR="005E29C9" w:rsidRPr="009D508E" w:rsidRDefault="005E29C9" w:rsidP="005E29C9">
                  <w:pPr>
                    <w:pStyle w:val="TAH"/>
                    <w:rPr>
                      <w:szCs w:val="18"/>
                    </w:rPr>
                  </w:pPr>
                  <w:r w:rsidRPr="009D508E">
                    <w:rPr>
                      <w:szCs w:val="18"/>
                    </w:rPr>
                    <w:t>5 MHz</w:t>
                  </w:r>
                  <w:r w:rsidRPr="009D508E">
                    <w:rPr>
                      <w:szCs w:val="18"/>
                    </w:rPr>
                    <w:br/>
                    <w:t>(dBm)</w:t>
                  </w:r>
                </w:p>
              </w:tc>
              <w:tc>
                <w:tcPr>
                  <w:tcW w:w="1581" w:type="dxa"/>
                  <w:tcBorders>
                    <w:top w:val="single" w:sz="4" w:space="0" w:color="auto"/>
                    <w:left w:val="single" w:sz="4" w:space="0" w:color="auto"/>
                    <w:bottom w:val="single" w:sz="4" w:space="0" w:color="auto"/>
                    <w:right w:val="single" w:sz="4" w:space="0" w:color="auto"/>
                  </w:tcBorders>
                  <w:vAlign w:val="center"/>
                  <w:hideMark/>
                </w:tcPr>
                <w:p w14:paraId="5297C3F9" w14:textId="77777777" w:rsidR="005E29C9" w:rsidRPr="009D508E" w:rsidRDefault="005E29C9" w:rsidP="005E29C9">
                  <w:pPr>
                    <w:pStyle w:val="TAH"/>
                    <w:rPr>
                      <w:szCs w:val="18"/>
                    </w:rPr>
                  </w:pPr>
                  <w:r w:rsidRPr="009D508E">
                    <w:rPr>
                      <w:szCs w:val="18"/>
                    </w:rPr>
                    <w:t>10 MHz</w:t>
                  </w:r>
                  <w:r w:rsidRPr="009D508E">
                    <w:rPr>
                      <w:szCs w:val="18"/>
                    </w:rPr>
                    <w:br/>
                    <w:t>(dBm)</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345F828" w14:textId="77777777" w:rsidR="005E29C9" w:rsidRPr="009D508E" w:rsidRDefault="005E29C9" w:rsidP="005E29C9">
                  <w:pPr>
                    <w:pStyle w:val="TAH"/>
                    <w:rPr>
                      <w:szCs w:val="18"/>
                    </w:rPr>
                  </w:pPr>
                  <w:r w:rsidRPr="009D508E">
                    <w:rPr>
                      <w:szCs w:val="18"/>
                    </w:rPr>
                    <w:t>15 MHz</w:t>
                  </w:r>
                  <w:r w:rsidRPr="009D508E">
                    <w:rPr>
                      <w:szCs w:val="18"/>
                    </w:rPr>
                    <w:br/>
                    <w:t>(dBm)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4DE20F" w14:textId="77777777" w:rsidR="005E29C9" w:rsidRPr="009D508E" w:rsidRDefault="005E29C9" w:rsidP="005E29C9">
                  <w:pPr>
                    <w:pStyle w:val="TAH"/>
                    <w:rPr>
                      <w:szCs w:val="18"/>
                    </w:rPr>
                  </w:pPr>
                  <w:r w:rsidRPr="009D508E">
                    <w:rPr>
                      <w:szCs w:val="18"/>
                    </w:rPr>
                    <w:t>20 MHz</w:t>
                  </w:r>
                  <w:r w:rsidRPr="009D508E">
                    <w:rPr>
                      <w:szCs w:val="18"/>
                    </w:rPr>
                    <w:br/>
                    <w:t>(dBm)</w:t>
                  </w:r>
                </w:p>
              </w:tc>
            </w:tr>
            <w:tr w:rsidR="005E29C9" w:rsidRPr="009D508E" w14:paraId="5496A4C9" w14:textId="77777777" w:rsidTr="00A351DB">
              <w:trPr>
                <w:trHeight w:val="187"/>
                <w:jc w:val="center"/>
              </w:trPr>
              <w:tc>
                <w:tcPr>
                  <w:tcW w:w="1696" w:type="dxa"/>
                  <w:tcBorders>
                    <w:top w:val="single" w:sz="4" w:space="0" w:color="auto"/>
                    <w:left w:val="single" w:sz="4" w:space="0" w:color="auto"/>
                    <w:bottom w:val="nil"/>
                    <w:right w:val="single" w:sz="4" w:space="0" w:color="auto"/>
                  </w:tcBorders>
                  <w:vAlign w:val="center"/>
                  <w:hideMark/>
                </w:tcPr>
                <w:p w14:paraId="46D46959" w14:textId="77777777" w:rsidR="005E29C9" w:rsidRPr="009D508E" w:rsidRDefault="005E29C9" w:rsidP="005E29C9">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5DDA4EBA" w14:textId="77777777" w:rsidR="005E29C9" w:rsidRPr="009D508E" w:rsidRDefault="005E29C9" w:rsidP="005E29C9">
                  <w:pPr>
                    <w:pStyle w:val="TAC"/>
                    <w:rPr>
                      <w:szCs w:val="18"/>
                    </w:rPr>
                  </w:pPr>
                  <w:r w:rsidRPr="009D508E">
                    <w:rPr>
                      <w:szCs w:val="18"/>
                    </w:rPr>
                    <w:t>15</w:t>
                  </w:r>
                </w:p>
              </w:tc>
              <w:tc>
                <w:tcPr>
                  <w:tcW w:w="1537" w:type="dxa"/>
                  <w:tcBorders>
                    <w:top w:val="single" w:sz="4" w:space="0" w:color="auto"/>
                    <w:left w:val="single" w:sz="4" w:space="0" w:color="auto"/>
                    <w:bottom w:val="single" w:sz="4" w:space="0" w:color="auto"/>
                    <w:right w:val="single" w:sz="4" w:space="0" w:color="auto"/>
                  </w:tcBorders>
                  <w:hideMark/>
                </w:tcPr>
                <w:p w14:paraId="1B0B15C8" w14:textId="77777777" w:rsidR="005E29C9" w:rsidRPr="009D508E" w:rsidRDefault="005E29C9" w:rsidP="005E29C9">
                  <w:pPr>
                    <w:pStyle w:val="TAC"/>
                    <w:rPr>
                      <w:szCs w:val="18"/>
                    </w:rPr>
                  </w:pPr>
                  <w:r w:rsidRPr="009D508E">
                    <w:rPr>
                      <w:szCs w:val="18"/>
                    </w:rPr>
                    <w:t>-100.0</w:t>
                  </w:r>
                </w:p>
              </w:tc>
              <w:tc>
                <w:tcPr>
                  <w:tcW w:w="1581" w:type="dxa"/>
                  <w:tcBorders>
                    <w:top w:val="single" w:sz="4" w:space="0" w:color="auto"/>
                    <w:left w:val="single" w:sz="4" w:space="0" w:color="auto"/>
                    <w:bottom w:val="single" w:sz="4" w:space="0" w:color="auto"/>
                    <w:right w:val="single" w:sz="4" w:space="0" w:color="auto"/>
                  </w:tcBorders>
                  <w:hideMark/>
                </w:tcPr>
                <w:p w14:paraId="134F55D4" w14:textId="77777777" w:rsidR="005E29C9" w:rsidRPr="009D508E" w:rsidRDefault="005E29C9" w:rsidP="005E29C9">
                  <w:pPr>
                    <w:pStyle w:val="TAC"/>
                    <w:rPr>
                      <w:szCs w:val="18"/>
                    </w:rPr>
                  </w:pPr>
                  <w:r w:rsidRPr="009D508E">
                    <w:rPr>
                      <w:szCs w:val="18"/>
                    </w:rPr>
                    <w:t>-96.8</w:t>
                  </w:r>
                </w:p>
              </w:tc>
              <w:tc>
                <w:tcPr>
                  <w:tcW w:w="1560" w:type="dxa"/>
                  <w:tcBorders>
                    <w:top w:val="single" w:sz="4" w:space="0" w:color="auto"/>
                    <w:left w:val="single" w:sz="4" w:space="0" w:color="auto"/>
                    <w:bottom w:val="single" w:sz="4" w:space="0" w:color="auto"/>
                    <w:right w:val="single" w:sz="4" w:space="0" w:color="auto"/>
                  </w:tcBorders>
                  <w:hideMark/>
                </w:tcPr>
                <w:p w14:paraId="659C5405" w14:textId="77777777" w:rsidR="005E29C9" w:rsidRPr="009D508E" w:rsidRDefault="005E29C9" w:rsidP="005E29C9">
                  <w:pPr>
                    <w:pStyle w:val="TAC"/>
                    <w:rPr>
                      <w:szCs w:val="18"/>
                    </w:rPr>
                  </w:pPr>
                  <w:r w:rsidRPr="009D508E">
                    <w:rPr>
                      <w:szCs w:val="18"/>
                    </w:rPr>
                    <w:t>-95.0</w:t>
                  </w:r>
                </w:p>
              </w:tc>
              <w:tc>
                <w:tcPr>
                  <w:tcW w:w="1417" w:type="dxa"/>
                  <w:tcBorders>
                    <w:top w:val="single" w:sz="4" w:space="0" w:color="auto"/>
                    <w:left w:val="single" w:sz="4" w:space="0" w:color="auto"/>
                    <w:bottom w:val="single" w:sz="4" w:space="0" w:color="auto"/>
                    <w:right w:val="single" w:sz="4" w:space="0" w:color="auto"/>
                  </w:tcBorders>
                  <w:hideMark/>
                </w:tcPr>
                <w:p w14:paraId="395031E3" w14:textId="77777777" w:rsidR="005E29C9" w:rsidRPr="009D508E" w:rsidRDefault="005E29C9" w:rsidP="005E29C9">
                  <w:pPr>
                    <w:pStyle w:val="TAC"/>
                    <w:rPr>
                      <w:szCs w:val="18"/>
                    </w:rPr>
                  </w:pPr>
                  <w:r w:rsidRPr="009D508E">
                    <w:rPr>
                      <w:rFonts w:cs="Arial"/>
                      <w:szCs w:val="18"/>
                    </w:rPr>
                    <w:t>-93.8</w:t>
                  </w:r>
                </w:p>
              </w:tc>
            </w:tr>
            <w:tr w:rsidR="005E29C9" w:rsidRPr="009D508E" w14:paraId="6BD86870" w14:textId="77777777" w:rsidTr="00A351DB">
              <w:trPr>
                <w:trHeight w:val="187"/>
                <w:jc w:val="center"/>
              </w:trPr>
              <w:tc>
                <w:tcPr>
                  <w:tcW w:w="1696" w:type="dxa"/>
                  <w:tcBorders>
                    <w:top w:val="nil"/>
                    <w:left w:val="single" w:sz="4" w:space="0" w:color="auto"/>
                    <w:bottom w:val="nil"/>
                    <w:right w:val="single" w:sz="4" w:space="0" w:color="auto"/>
                  </w:tcBorders>
                  <w:vAlign w:val="center"/>
                  <w:hideMark/>
                </w:tcPr>
                <w:p w14:paraId="323C8C43" w14:textId="77777777" w:rsidR="005E29C9" w:rsidRPr="009D508E" w:rsidRDefault="005E29C9" w:rsidP="005E29C9">
                  <w:pPr>
                    <w:pStyle w:val="TAC"/>
                    <w:rPr>
                      <w:szCs w:val="18"/>
                    </w:rPr>
                  </w:pPr>
                  <w:r w:rsidRPr="009D508E">
                    <w:rPr>
                      <w:szCs w:val="18"/>
                    </w:rPr>
                    <w:t>n256</w:t>
                  </w:r>
                </w:p>
              </w:tc>
              <w:tc>
                <w:tcPr>
                  <w:tcW w:w="1418" w:type="dxa"/>
                  <w:tcBorders>
                    <w:top w:val="single" w:sz="4" w:space="0" w:color="auto"/>
                    <w:left w:val="single" w:sz="4" w:space="0" w:color="auto"/>
                    <w:bottom w:val="single" w:sz="4" w:space="0" w:color="auto"/>
                    <w:right w:val="single" w:sz="4" w:space="0" w:color="auto"/>
                  </w:tcBorders>
                  <w:hideMark/>
                </w:tcPr>
                <w:p w14:paraId="57DDA6A1" w14:textId="77777777" w:rsidR="005E29C9" w:rsidRPr="009D508E" w:rsidRDefault="005E29C9" w:rsidP="005E29C9">
                  <w:pPr>
                    <w:pStyle w:val="TAC"/>
                    <w:rPr>
                      <w:szCs w:val="18"/>
                    </w:rPr>
                  </w:pPr>
                  <w:r w:rsidRPr="009D508E">
                    <w:rPr>
                      <w:szCs w:val="18"/>
                    </w:rPr>
                    <w:t>30</w:t>
                  </w:r>
                </w:p>
              </w:tc>
              <w:tc>
                <w:tcPr>
                  <w:tcW w:w="1537" w:type="dxa"/>
                  <w:tcBorders>
                    <w:top w:val="single" w:sz="4" w:space="0" w:color="auto"/>
                    <w:left w:val="single" w:sz="4" w:space="0" w:color="auto"/>
                    <w:bottom w:val="single" w:sz="4" w:space="0" w:color="auto"/>
                    <w:right w:val="single" w:sz="4" w:space="0" w:color="auto"/>
                  </w:tcBorders>
                </w:tcPr>
                <w:p w14:paraId="6D4E427B" w14:textId="77777777" w:rsidR="005E29C9" w:rsidRPr="009D508E" w:rsidRDefault="005E29C9" w:rsidP="005E29C9">
                  <w:pPr>
                    <w:pStyle w:val="TAC"/>
                    <w:rPr>
                      <w:szCs w:val="18"/>
                    </w:rPr>
                  </w:pPr>
                </w:p>
              </w:tc>
              <w:tc>
                <w:tcPr>
                  <w:tcW w:w="1581" w:type="dxa"/>
                  <w:tcBorders>
                    <w:top w:val="single" w:sz="4" w:space="0" w:color="auto"/>
                    <w:left w:val="single" w:sz="4" w:space="0" w:color="auto"/>
                    <w:bottom w:val="single" w:sz="4" w:space="0" w:color="auto"/>
                    <w:right w:val="single" w:sz="4" w:space="0" w:color="auto"/>
                  </w:tcBorders>
                  <w:hideMark/>
                </w:tcPr>
                <w:p w14:paraId="6E595A46" w14:textId="77777777" w:rsidR="005E29C9" w:rsidRPr="009D508E" w:rsidRDefault="005E29C9" w:rsidP="005E29C9">
                  <w:pPr>
                    <w:pStyle w:val="TAC"/>
                    <w:rPr>
                      <w:szCs w:val="18"/>
                    </w:rPr>
                  </w:pPr>
                  <w:r w:rsidRPr="009D508E">
                    <w:rPr>
                      <w:szCs w:val="18"/>
                    </w:rPr>
                    <w:t>-97.1</w:t>
                  </w:r>
                </w:p>
              </w:tc>
              <w:tc>
                <w:tcPr>
                  <w:tcW w:w="1560" w:type="dxa"/>
                  <w:tcBorders>
                    <w:top w:val="single" w:sz="4" w:space="0" w:color="auto"/>
                    <w:left w:val="single" w:sz="4" w:space="0" w:color="auto"/>
                    <w:bottom w:val="single" w:sz="4" w:space="0" w:color="auto"/>
                    <w:right w:val="single" w:sz="4" w:space="0" w:color="auto"/>
                  </w:tcBorders>
                  <w:hideMark/>
                </w:tcPr>
                <w:p w14:paraId="74E9175A" w14:textId="77777777" w:rsidR="005E29C9" w:rsidRPr="009D508E" w:rsidRDefault="005E29C9" w:rsidP="005E29C9">
                  <w:pPr>
                    <w:pStyle w:val="TAC"/>
                    <w:rPr>
                      <w:szCs w:val="18"/>
                    </w:rPr>
                  </w:pPr>
                  <w:r w:rsidRPr="009D508E">
                    <w:rPr>
                      <w:szCs w:val="18"/>
                    </w:rPr>
                    <w:t>-95.1</w:t>
                  </w:r>
                </w:p>
              </w:tc>
              <w:tc>
                <w:tcPr>
                  <w:tcW w:w="1417" w:type="dxa"/>
                  <w:tcBorders>
                    <w:top w:val="single" w:sz="4" w:space="0" w:color="auto"/>
                    <w:left w:val="single" w:sz="4" w:space="0" w:color="auto"/>
                    <w:bottom w:val="single" w:sz="4" w:space="0" w:color="auto"/>
                    <w:right w:val="single" w:sz="4" w:space="0" w:color="auto"/>
                  </w:tcBorders>
                  <w:hideMark/>
                </w:tcPr>
                <w:p w14:paraId="2D31D580" w14:textId="77777777" w:rsidR="005E29C9" w:rsidRPr="009D508E" w:rsidRDefault="005E29C9" w:rsidP="005E29C9">
                  <w:pPr>
                    <w:pStyle w:val="TAC"/>
                    <w:rPr>
                      <w:szCs w:val="18"/>
                    </w:rPr>
                  </w:pPr>
                  <w:r w:rsidRPr="009D508E">
                    <w:rPr>
                      <w:rFonts w:cs="Arial"/>
                      <w:szCs w:val="18"/>
                    </w:rPr>
                    <w:t>-94.0</w:t>
                  </w:r>
                </w:p>
              </w:tc>
            </w:tr>
            <w:tr w:rsidR="005E29C9" w:rsidRPr="009D508E" w14:paraId="21C3155B" w14:textId="77777777" w:rsidTr="00A351DB">
              <w:trPr>
                <w:trHeight w:val="187"/>
                <w:jc w:val="center"/>
              </w:trPr>
              <w:tc>
                <w:tcPr>
                  <w:tcW w:w="1696" w:type="dxa"/>
                  <w:tcBorders>
                    <w:top w:val="nil"/>
                    <w:left w:val="single" w:sz="4" w:space="0" w:color="auto"/>
                    <w:bottom w:val="single" w:sz="4" w:space="0" w:color="auto"/>
                    <w:right w:val="single" w:sz="4" w:space="0" w:color="auto"/>
                  </w:tcBorders>
                  <w:vAlign w:val="center"/>
                  <w:hideMark/>
                </w:tcPr>
                <w:p w14:paraId="682B81D4" w14:textId="77777777" w:rsidR="005E29C9" w:rsidRPr="009D508E" w:rsidRDefault="005E29C9" w:rsidP="005E29C9">
                  <w:pPr>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682086A4" w14:textId="77777777" w:rsidR="005E29C9" w:rsidRPr="009D508E" w:rsidRDefault="005E29C9" w:rsidP="005E29C9">
                  <w:pPr>
                    <w:pStyle w:val="TAC"/>
                    <w:rPr>
                      <w:szCs w:val="18"/>
                    </w:rPr>
                  </w:pPr>
                  <w:r w:rsidRPr="009D508E">
                    <w:rPr>
                      <w:szCs w:val="18"/>
                    </w:rPr>
                    <w:t>60</w:t>
                  </w:r>
                </w:p>
              </w:tc>
              <w:tc>
                <w:tcPr>
                  <w:tcW w:w="1537" w:type="dxa"/>
                  <w:tcBorders>
                    <w:top w:val="single" w:sz="4" w:space="0" w:color="auto"/>
                    <w:left w:val="single" w:sz="4" w:space="0" w:color="auto"/>
                    <w:bottom w:val="single" w:sz="4" w:space="0" w:color="auto"/>
                    <w:right w:val="single" w:sz="4" w:space="0" w:color="auto"/>
                  </w:tcBorders>
                </w:tcPr>
                <w:p w14:paraId="42DA3F9C" w14:textId="77777777" w:rsidR="005E29C9" w:rsidRPr="009D508E" w:rsidRDefault="005E29C9" w:rsidP="005E29C9">
                  <w:pPr>
                    <w:pStyle w:val="TAC"/>
                    <w:rPr>
                      <w:szCs w:val="18"/>
                    </w:rPr>
                  </w:pPr>
                </w:p>
              </w:tc>
              <w:tc>
                <w:tcPr>
                  <w:tcW w:w="1581" w:type="dxa"/>
                  <w:tcBorders>
                    <w:top w:val="single" w:sz="4" w:space="0" w:color="auto"/>
                    <w:left w:val="single" w:sz="4" w:space="0" w:color="auto"/>
                    <w:bottom w:val="single" w:sz="4" w:space="0" w:color="auto"/>
                    <w:right w:val="single" w:sz="4" w:space="0" w:color="auto"/>
                  </w:tcBorders>
                  <w:hideMark/>
                </w:tcPr>
                <w:p w14:paraId="49C70B14" w14:textId="77777777" w:rsidR="005E29C9" w:rsidRPr="009D508E" w:rsidRDefault="005E29C9" w:rsidP="005E29C9">
                  <w:pPr>
                    <w:pStyle w:val="TAC"/>
                    <w:rPr>
                      <w:szCs w:val="18"/>
                    </w:rPr>
                  </w:pPr>
                  <w:r w:rsidRPr="009D508E">
                    <w:rPr>
                      <w:szCs w:val="18"/>
                    </w:rPr>
                    <w:t>-97.5</w:t>
                  </w:r>
                </w:p>
              </w:tc>
              <w:tc>
                <w:tcPr>
                  <w:tcW w:w="1560" w:type="dxa"/>
                  <w:tcBorders>
                    <w:top w:val="single" w:sz="4" w:space="0" w:color="auto"/>
                    <w:left w:val="single" w:sz="4" w:space="0" w:color="auto"/>
                    <w:bottom w:val="single" w:sz="4" w:space="0" w:color="auto"/>
                    <w:right w:val="single" w:sz="4" w:space="0" w:color="auto"/>
                  </w:tcBorders>
                  <w:hideMark/>
                </w:tcPr>
                <w:p w14:paraId="7400DC13" w14:textId="77777777" w:rsidR="005E29C9" w:rsidRPr="009D508E" w:rsidRDefault="005E29C9" w:rsidP="005E29C9">
                  <w:pPr>
                    <w:pStyle w:val="TAC"/>
                    <w:rPr>
                      <w:szCs w:val="18"/>
                    </w:rPr>
                  </w:pPr>
                  <w:r w:rsidRPr="009D508E">
                    <w:rPr>
                      <w:szCs w:val="18"/>
                    </w:rPr>
                    <w:t>-95.4</w:t>
                  </w:r>
                </w:p>
              </w:tc>
              <w:tc>
                <w:tcPr>
                  <w:tcW w:w="1417" w:type="dxa"/>
                  <w:tcBorders>
                    <w:top w:val="single" w:sz="4" w:space="0" w:color="auto"/>
                    <w:left w:val="single" w:sz="4" w:space="0" w:color="auto"/>
                    <w:bottom w:val="single" w:sz="4" w:space="0" w:color="auto"/>
                    <w:right w:val="single" w:sz="4" w:space="0" w:color="auto"/>
                  </w:tcBorders>
                  <w:hideMark/>
                </w:tcPr>
                <w:p w14:paraId="6007AEA0" w14:textId="77777777" w:rsidR="005E29C9" w:rsidRPr="009D508E" w:rsidRDefault="005E29C9" w:rsidP="005E29C9">
                  <w:pPr>
                    <w:pStyle w:val="TAC"/>
                    <w:rPr>
                      <w:szCs w:val="18"/>
                    </w:rPr>
                  </w:pPr>
                  <w:r w:rsidRPr="009D508E">
                    <w:rPr>
                      <w:rFonts w:cs="Arial"/>
                      <w:szCs w:val="18"/>
                    </w:rPr>
                    <w:t>-94.2</w:t>
                  </w:r>
                </w:p>
              </w:tc>
            </w:tr>
          </w:tbl>
          <w:p w14:paraId="541706BE" w14:textId="77777777" w:rsidR="005E29C9" w:rsidRPr="00A70D92" w:rsidRDefault="005E29C9" w:rsidP="005E29C9"/>
          <w:p w14:paraId="1EAA043F" w14:textId="77777777" w:rsidR="005E29C9" w:rsidRPr="00A70D92" w:rsidRDefault="005E29C9" w:rsidP="005E29C9">
            <w:pPr>
              <w:pStyle w:val="Heading2"/>
            </w:pPr>
            <w:r w:rsidRPr="00A70D92">
              <w:t>Issue 1-</w:t>
            </w:r>
            <w:r>
              <w:t>4</w:t>
            </w:r>
            <w:r w:rsidRPr="00A70D92">
              <w:t>: Specification updates</w:t>
            </w:r>
          </w:p>
          <w:p w14:paraId="7B71B26F" w14:textId="77777777" w:rsidR="005E29C9" w:rsidRPr="00A70D92" w:rsidRDefault="005E29C9" w:rsidP="005E29C9">
            <w:pPr>
              <w:rPr>
                <w:b/>
                <w:bCs/>
              </w:rPr>
            </w:pPr>
            <w:r w:rsidRPr="00A70D92">
              <w:rPr>
                <w:b/>
                <w:bCs/>
              </w:rPr>
              <w:t>Agreement:</w:t>
            </w:r>
          </w:p>
          <w:p w14:paraId="53D74C73" w14:textId="77777777" w:rsidR="005E29C9" w:rsidRDefault="005E29C9" w:rsidP="005E29C9">
            <w:pPr>
              <w:pStyle w:val="ListParagraph"/>
              <w:numPr>
                <w:ilvl w:val="1"/>
                <w:numId w:val="27"/>
              </w:numPr>
              <w:overflowPunct w:val="0"/>
              <w:autoSpaceDE w:val="0"/>
              <w:autoSpaceDN w:val="0"/>
              <w:adjustRightInd w:val="0"/>
              <w:spacing w:after="120"/>
              <w:contextualSpacing w:val="0"/>
              <w:textAlignment w:val="baseline"/>
              <w:rPr>
                <w:szCs w:val="24"/>
                <w:lang w:eastAsia="zh-CN"/>
              </w:rPr>
            </w:pPr>
            <w:r w:rsidRPr="002E0494">
              <w:rPr>
                <w:szCs w:val="24"/>
                <w:lang w:eastAsia="zh-CN"/>
              </w:rPr>
              <w:t xml:space="preserve">The maximum transmission bandwidth for NTN </w:t>
            </w:r>
            <w:proofErr w:type="spellStart"/>
            <w:r w:rsidRPr="002E0494">
              <w:rPr>
                <w:szCs w:val="24"/>
                <w:lang w:eastAsia="zh-CN"/>
              </w:rPr>
              <w:t>eRedCap</w:t>
            </w:r>
            <w:proofErr w:type="spellEnd"/>
            <w:r w:rsidRPr="002E0494">
              <w:rPr>
                <w:szCs w:val="24"/>
                <w:lang w:eastAsia="zh-CN"/>
              </w:rPr>
              <w:t xml:space="preserve"> with bandwidth reduction should be 25RBs for 15 kHz SCS and 12 RBs for 30 kHz SCS for PDSCH and PUSCH. The channel bandwidths are specified for both the TX and RX paths.</w:t>
            </w:r>
          </w:p>
          <w:p w14:paraId="059CC8FF" w14:textId="77777777" w:rsidR="005E29C9" w:rsidRPr="002E0494" w:rsidRDefault="005E29C9" w:rsidP="005E29C9">
            <w:pPr>
              <w:pStyle w:val="ListParagraph"/>
              <w:numPr>
                <w:ilvl w:val="1"/>
                <w:numId w:val="27"/>
              </w:numPr>
              <w:overflowPunct w:val="0"/>
              <w:autoSpaceDE w:val="0"/>
              <w:autoSpaceDN w:val="0"/>
              <w:adjustRightInd w:val="0"/>
              <w:spacing w:after="120"/>
              <w:contextualSpacing w:val="0"/>
              <w:textAlignment w:val="baseline"/>
              <w:rPr>
                <w:szCs w:val="24"/>
                <w:lang w:eastAsia="zh-CN"/>
              </w:rPr>
            </w:pPr>
            <w:r w:rsidRPr="002E0494">
              <w:rPr>
                <w:szCs w:val="24"/>
                <w:lang w:eastAsia="zh-CN"/>
              </w:rPr>
              <w:t xml:space="preserve">REFSENS of NTN </w:t>
            </w:r>
            <w:proofErr w:type="spellStart"/>
            <w:r w:rsidRPr="002E0494">
              <w:rPr>
                <w:szCs w:val="24"/>
                <w:lang w:eastAsia="zh-CN"/>
              </w:rPr>
              <w:t>eRedCap</w:t>
            </w:r>
            <w:proofErr w:type="spellEnd"/>
            <w:r w:rsidRPr="002E0494">
              <w:rPr>
                <w:szCs w:val="24"/>
                <w:lang w:eastAsia="zh-CN"/>
              </w:rPr>
              <w:t xml:space="preserve"> with bandwidth reduction for wider channel BW in FR1-NTN bands, it should be defined as below:</w:t>
            </w:r>
          </w:p>
          <w:p w14:paraId="6AD7A3B8" w14:textId="77777777" w:rsidR="005E29C9" w:rsidRPr="002E0494" w:rsidRDefault="005E29C9" w:rsidP="005E29C9">
            <w:pPr>
              <w:pStyle w:val="ListParagraph"/>
              <w:numPr>
                <w:ilvl w:val="2"/>
                <w:numId w:val="27"/>
              </w:numPr>
              <w:spacing w:after="120"/>
              <w:contextualSpacing w:val="0"/>
              <w:rPr>
                <w:szCs w:val="24"/>
                <w:lang w:eastAsia="zh-CN"/>
              </w:rPr>
            </w:pPr>
            <w:r w:rsidRPr="002E0494">
              <w:rPr>
                <w:szCs w:val="24"/>
                <w:lang w:eastAsia="zh-CN"/>
              </w:rPr>
              <w:t>The 5MHz REFSENS requirements are applicable for all the channel bandwidths including 5MHz, 10MHz, 15MHz, 20MHz channel bandwidth.</w:t>
            </w:r>
          </w:p>
          <w:p w14:paraId="6DB0B5D0" w14:textId="77777777" w:rsidR="005E29C9" w:rsidRPr="00004E89" w:rsidRDefault="005E29C9" w:rsidP="005E29C9">
            <w:pPr>
              <w:pStyle w:val="ListParagraph"/>
              <w:numPr>
                <w:ilvl w:val="2"/>
                <w:numId w:val="27"/>
              </w:numPr>
              <w:spacing w:after="120"/>
              <w:contextualSpacing w:val="0"/>
              <w:rPr>
                <w:b/>
                <w:bCs/>
                <w:szCs w:val="24"/>
                <w:lang w:eastAsia="zh-CN"/>
              </w:rPr>
            </w:pPr>
            <w:r w:rsidRPr="002E0494">
              <w:rPr>
                <w:szCs w:val="24"/>
                <w:lang w:eastAsia="zh-CN"/>
              </w:rPr>
              <w:t>25 contiguous RB placed in middle of channel BW both in UL and DL for both HD-FDD and FD-FDD</w:t>
            </w:r>
            <w:r>
              <w:rPr>
                <w:szCs w:val="24"/>
                <w:lang w:eastAsia="zh-CN"/>
              </w:rPr>
              <w:t>, w</w:t>
            </w:r>
            <w:r w:rsidRPr="00004E89">
              <w:rPr>
                <w:szCs w:val="24"/>
                <w:lang w:eastAsia="zh-CN"/>
              </w:rPr>
              <w:t xml:space="preserve">here both UL and DL allocations are following the 5MHz NTN </w:t>
            </w:r>
            <w:proofErr w:type="spellStart"/>
            <w:r w:rsidRPr="00004E89">
              <w:rPr>
                <w:szCs w:val="24"/>
                <w:lang w:eastAsia="zh-CN"/>
              </w:rPr>
              <w:t>RedCap</w:t>
            </w:r>
            <w:proofErr w:type="spellEnd"/>
            <w:r w:rsidRPr="00004E89">
              <w:rPr>
                <w:szCs w:val="24"/>
                <w:lang w:eastAsia="zh-CN"/>
              </w:rPr>
              <w:t xml:space="preserve"> REFSENS configurations and located at the </w:t>
            </w:r>
            <w:proofErr w:type="spellStart"/>
            <w:r w:rsidRPr="00004E89">
              <w:rPr>
                <w:szCs w:val="24"/>
                <w:lang w:eastAsia="zh-CN"/>
              </w:rPr>
              <w:t>center</w:t>
            </w:r>
            <w:proofErr w:type="spellEnd"/>
            <w:r w:rsidRPr="00004E89">
              <w:rPr>
                <w:szCs w:val="24"/>
                <w:lang w:eastAsia="zh-CN"/>
              </w:rPr>
              <w:t xml:space="preserve"> of the channel BW.</w:t>
            </w:r>
          </w:p>
          <w:p w14:paraId="2F3BE307" w14:textId="77777777" w:rsidR="005E29C9" w:rsidRPr="002E0494" w:rsidRDefault="005E29C9" w:rsidP="005E29C9">
            <w:pPr>
              <w:pStyle w:val="ListParagraph"/>
              <w:numPr>
                <w:ilvl w:val="2"/>
                <w:numId w:val="27"/>
              </w:numPr>
              <w:spacing w:after="120"/>
              <w:contextualSpacing w:val="0"/>
              <w:rPr>
                <w:b/>
                <w:bCs/>
                <w:szCs w:val="24"/>
                <w:lang w:eastAsia="zh-CN"/>
              </w:rPr>
            </w:pPr>
            <w:r w:rsidRPr="002E0494">
              <w:rPr>
                <w:szCs w:val="24"/>
                <w:lang w:eastAsia="zh-CN"/>
              </w:rPr>
              <w:t>UL RB size follow the 5MHz UL configuration table</w:t>
            </w:r>
          </w:p>
          <w:p w14:paraId="27813DC4" w14:textId="77777777" w:rsidR="005E29C9" w:rsidRDefault="005E29C9" w:rsidP="005E29C9">
            <w:pPr>
              <w:pStyle w:val="ListParagraph"/>
              <w:numPr>
                <w:ilvl w:val="1"/>
                <w:numId w:val="27"/>
              </w:numPr>
              <w:spacing w:after="120"/>
              <w:contextualSpacing w:val="0"/>
              <w:rPr>
                <w:rFonts w:eastAsia="SimSun"/>
                <w:szCs w:val="24"/>
                <w:lang w:eastAsia="zh-CN"/>
              </w:rPr>
            </w:pPr>
            <w:r w:rsidRPr="002E0494">
              <w:rPr>
                <w:rFonts w:eastAsia="SimSun"/>
                <w:szCs w:val="24"/>
                <w:lang w:eastAsia="zh-CN"/>
              </w:rPr>
              <w:t>Reuse the same scaling factor of NTN (e)</w:t>
            </w:r>
            <w:proofErr w:type="spellStart"/>
            <w:r w:rsidRPr="002E0494">
              <w:rPr>
                <w:rFonts w:eastAsia="SimSun"/>
                <w:szCs w:val="24"/>
                <w:lang w:eastAsia="zh-CN"/>
              </w:rPr>
              <w:t>RedCap</w:t>
            </w:r>
            <w:proofErr w:type="spellEnd"/>
            <w:r w:rsidRPr="002E0494">
              <w:rPr>
                <w:rFonts w:eastAsia="SimSun"/>
                <w:szCs w:val="24"/>
                <w:lang w:eastAsia="zh-CN"/>
              </w:rPr>
              <w:t xml:space="preserve"> without bandwidth reduction for REFSENS for NTN </w:t>
            </w:r>
            <w:proofErr w:type="spellStart"/>
            <w:r w:rsidRPr="002E0494">
              <w:rPr>
                <w:rFonts w:eastAsia="SimSun"/>
                <w:szCs w:val="24"/>
                <w:lang w:eastAsia="zh-CN"/>
              </w:rPr>
              <w:t>eRedCap</w:t>
            </w:r>
            <w:proofErr w:type="spellEnd"/>
            <w:r w:rsidRPr="002E0494">
              <w:rPr>
                <w:rFonts w:eastAsia="SimSun"/>
                <w:szCs w:val="24"/>
                <w:lang w:eastAsia="zh-CN"/>
              </w:rPr>
              <w:t xml:space="preserve"> with bandwidth reduction with 2Rx HD-FDD, 1Rx HD-FDD and 1Rx FD-FDD.</w:t>
            </w:r>
          </w:p>
          <w:p w14:paraId="242B40DA" w14:textId="77777777" w:rsidR="005E29C9" w:rsidRPr="00744C06" w:rsidRDefault="005E29C9" w:rsidP="005E29C9">
            <w:pPr>
              <w:pStyle w:val="ListParagraph"/>
              <w:numPr>
                <w:ilvl w:val="1"/>
                <w:numId w:val="27"/>
              </w:numPr>
              <w:spacing w:after="120"/>
              <w:contextualSpacing w:val="0"/>
            </w:pPr>
            <w:r w:rsidRPr="00D57FA9">
              <w:rPr>
                <w:rFonts w:eastAsia="SimSun"/>
                <w:szCs w:val="24"/>
                <w:lang w:eastAsia="zh-CN"/>
              </w:rPr>
              <w:t>The bandwidth reduction in TS 38.101-1 5.3I applies also for NTN (e)</w:t>
            </w:r>
            <w:proofErr w:type="spellStart"/>
            <w:r w:rsidRPr="00D57FA9">
              <w:rPr>
                <w:rFonts w:eastAsia="SimSun"/>
                <w:szCs w:val="24"/>
                <w:lang w:eastAsia="zh-CN"/>
              </w:rPr>
              <w:t>RedCap</w:t>
            </w:r>
            <w:proofErr w:type="spellEnd"/>
          </w:p>
          <w:p w14:paraId="28336A7D" w14:textId="77777777" w:rsidR="005E29C9" w:rsidRDefault="005E29C9" w:rsidP="005E29C9">
            <w:pPr>
              <w:pStyle w:val="Heading2"/>
            </w:pPr>
          </w:p>
          <w:p w14:paraId="5B0A05A2" w14:textId="60293718" w:rsidR="005E29C9" w:rsidRPr="00A70D92" w:rsidRDefault="005E29C9" w:rsidP="005E29C9">
            <w:pPr>
              <w:pStyle w:val="Heading2"/>
              <w:rPr>
                <w:lang w:eastAsia="zh-CN"/>
              </w:rPr>
            </w:pPr>
            <w:r w:rsidRPr="00A70D92">
              <w:t>Issue 1-</w:t>
            </w:r>
            <w:r>
              <w:t>3</w:t>
            </w:r>
            <w:r w:rsidRPr="00A70D92">
              <w:t>: Simultaneous operation with GNSS</w:t>
            </w:r>
          </w:p>
          <w:p w14:paraId="2A8706F9" w14:textId="77777777" w:rsidR="005E29C9" w:rsidRDefault="005E29C9" w:rsidP="005E29C9">
            <w:pPr>
              <w:rPr>
                <w:b/>
                <w:lang w:eastAsia="zh-CN"/>
              </w:rPr>
            </w:pPr>
            <w:r>
              <w:rPr>
                <w:b/>
                <w:lang w:eastAsia="zh-CN"/>
              </w:rPr>
              <w:t>Open items:</w:t>
            </w:r>
            <w:r w:rsidRPr="00A70D92">
              <w:rPr>
                <w:b/>
                <w:lang w:eastAsia="zh-CN"/>
              </w:rPr>
              <w:t xml:space="preserve"> </w:t>
            </w:r>
          </w:p>
          <w:p w14:paraId="1923403F" w14:textId="77777777" w:rsidR="005E29C9" w:rsidRDefault="005E29C9" w:rsidP="005E29C9">
            <w:pPr>
              <w:pStyle w:val="ListParagraph"/>
              <w:numPr>
                <w:ilvl w:val="0"/>
                <w:numId w:val="28"/>
              </w:numPr>
              <w:overflowPunct w:val="0"/>
              <w:autoSpaceDE w:val="0"/>
              <w:autoSpaceDN w:val="0"/>
              <w:adjustRightInd w:val="0"/>
              <w:spacing w:after="180"/>
              <w:contextualSpacing w:val="0"/>
              <w:textAlignment w:val="baseline"/>
              <w:rPr>
                <w:bCs/>
                <w:lang w:eastAsia="zh-CN"/>
              </w:rPr>
            </w:pPr>
            <w:r>
              <w:rPr>
                <w:bCs/>
                <w:lang w:eastAsia="zh-CN"/>
              </w:rPr>
              <w:t>Strive towards common solution for (e)</w:t>
            </w:r>
            <w:proofErr w:type="spellStart"/>
            <w:r>
              <w:rPr>
                <w:bCs/>
                <w:lang w:eastAsia="zh-CN"/>
              </w:rPr>
              <w:t>RedCap</w:t>
            </w:r>
            <w:proofErr w:type="spellEnd"/>
            <w:r>
              <w:rPr>
                <w:bCs/>
                <w:lang w:eastAsia="zh-CN"/>
              </w:rPr>
              <w:t xml:space="preserve"> NR NTN and non-</w:t>
            </w:r>
            <w:proofErr w:type="spellStart"/>
            <w:r>
              <w:rPr>
                <w:bCs/>
                <w:lang w:eastAsia="zh-CN"/>
              </w:rPr>
              <w:t>RedCap</w:t>
            </w:r>
            <w:proofErr w:type="spellEnd"/>
            <w:r>
              <w:rPr>
                <w:bCs/>
                <w:lang w:eastAsia="zh-CN"/>
              </w:rPr>
              <w:t xml:space="preserve"> NR NTN</w:t>
            </w:r>
          </w:p>
          <w:p w14:paraId="786476CB" w14:textId="77777777" w:rsidR="005E29C9" w:rsidRPr="0034762F" w:rsidRDefault="005E29C9" w:rsidP="005E29C9">
            <w:pPr>
              <w:pStyle w:val="ListParagraph"/>
              <w:numPr>
                <w:ilvl w:val="0"/>
                <w:numId w:val="28"/>
              </w:numPr>
              <w:overflowPunct w:val="0"/>
              <w:autoSpaceDE w:val="0"/>
              <w:autoSpaceDN w:val="0"/>
              <w:adjustRightInd w:val="0"/>
              <w:spacing w:after="180"/>
              <w:contextualSpacing w:val="0"/>
              <w:textAlignment w:val="baseline"/>
            </w:pPr>
            <w:r>
              <w:rPr>
                <w:bCs/>
                <w:lang w:eastAsia="zh-CN"/>
              </w:rPr>
              <w:t>Consider asking RAN1/2 to ensure IDC framework allows appropriate configurations to ensure GNSS location acquisition and NR NTN can operate in parallel in bands with UL close to GNSS frequencies</w:t>
            </w:r>
          </w:p>
          <w:p w14:paraId="412E35A5" w14:textId="77777777" w:rsidR="005E29C9" w:rsidRPr="00194028" w:rsidRDefault="005E29C9" w:rsidP="005E29C9">
            <w:pPr>
              <w:pStyle w:val="ListParagraph"/>
              <w:numPr>
                <w:ilvl w:val="0"/>
                <w:numId w:val="28"/>
              </w:numPr>
              <w:overflowPunct w:val="0"/>
              <w:autoSpaceDE w:val="0"/>
              <w:autoSpaceDN w:val="0"/>
              <w:adjustRightInd w:val="0"/>
              <w:spacing w:after="180"/>
              <w:contextualSpacing w:val="0"/>
              <w:textAlignment w:val="baseline"/>
            </w:pPr>
            <w:r>
              <w:rPr>
                <w:bCs/>
                <w:lang w:eastAsia="zh-CN"/>
              </w:rPr>
              <w:t>Encourage further evaluations in RAN4 including but not limited to</w:t>
            </w:r>
          </w:p>
          <w:p w14:paraId="24CCC400" w14:textId="77777777" w:rsidR="005E29C9" w:rsidRPr="00690683" w:rsidRDefault="005E29C9" w:rsidP="005E29C9">
            <w:pPr>
              <w:pStyle w:val="ListParagraph"/>
              <w:numPr>
                <w:ilvl w:val="1"/>
                <w:numId w:val="28"/>
              </w:numPr>
              <w:overflowPunct w:val="0"/>
              <w:autoSpaceDE w:val="0"/>
              <w:autoSpaceDN w:val="0"/>
              <w:adjustRightInd w:val="0"/>
              <w:spacing w:after="180"/>
              <w:contextualSpacing w:val="0"/>
              <w:textAlignment w:val="baseline"/>
            </w:pPr>
            <w:r>
              <w:rPr>
                <w:bCs/>
                <w:lang w:eastAsia="zh-CN"/>
              </w:rPr>
              <w:t>Whether potential new solution(s) apply only from rel-19 or are early implementable</w:t>
            </w:r>
          </w:p>
          <w:p w14:paraId="67EEF783" w14:textId="2E857D9E" w:rsidR="007E4668" w:rsidRPr="008F786B" w:rsidRDefault="005E29C9" w:rsidP="005E29C9">
            <w:pPr>
              <w:pStyle w:val="ListParagraph"/>
              <w:numPr>
                <w:ilvl w:val="1"/>
                <w:numId w:val="28"/>
              </w:numPr>
              <w:overflowPunct w:val="0"/>
              <w:autoSpaceDE w:val="0"/>
              <w:autoSpaceDN w:val="0"/>
              <w:adjustRightInd w:val="0"/>
              <w:spacing w:after="180"/>
              <w:contextualSpacing w:val="0"/>
              <w:textAlignment w:val="baseline"/>
            </w:pPr>
            <w:r>
              <w:rPr>
                <w:bCs/>
                <w:lang w:eastAsia="zh-CN"/>
              </w:rPr>
              <w:t>Whether UE speed needs to be considered</w:t>
            </w:r>
            <w:r>
              <w:tab/>
            </w:r>
          </w:p>
        </w:tc>
      </w:tr>
    </w:tbl>
    <w:p w14:paraId="1AD02CFC" w14:textId="77777777" w:rsidR="0060543D" w:rsidRPr="008F786B" w:rsidRDefault="0060543D" w:rsidP="005C23A4"/>
    <w:p w14:paraId="3F5A8754" w14:textId="77777777" w:rsidR="00B66B7D" w:rsidRPr="008F786B" w:rsidRDefault="003B659E" w:rsidP="00B66B7D">
      <w:pPr>
        <w:pStyle w:val="RAN4H1"/>
      </w:pPr>
      <w:bookmarkStart w:id="5" w:name="_Toc116995842"/>
      <w:r w:rsidRPr="008F786B">
        <w:lastRenderedPageBreak/>
        <w:t>Discussion</w:t>
      </w:r>
      <w:bookmarkEnd w:id="5"/>
    </w:p>
    <w:p w14:paraId="32D2B992" w14:textId="77777777" w:rsidR="00827355" w:rsidRDefault="00827355" w:rsidP="00827355">
      <w:pPr>
        <w:pStyle w:val="RAN4H2"/>
      </w:pPr>
      <w:r w:rsidRPr="00B64E8A">
        <w:t>HD-FDD REFSENS</w:t>
      </w:r>
      <w:r>
        <w:t xml:space="preserve"> for two RX</w:t>
      </w:r>
    </w:p>
    <w:p w14:paraId="5925F32C" w14:textId="77777777" w:rsidR="00827355" w:rsidRDefault="00827355" w:rsidP="00827355">
      <w:r>
        <w:t xml:space="preserve">In the last meeting, 0.5 dB tightening was agreed for n256, however, the tightening amount for n254 and n255 are still under discussion. Companies have proposed to use 0.5dB for n254 and 0dB for n255 based on the tightening rules that were used for TN </w:t>
      </w:r>
      <w:proofErr w:type="spellStart"/>
      <w:r>
        <w:t>RedCap</w:t>
      </w:r>
      <w:proofErr w:type="spellEnd"/>
      <w:r>
        <w:t xml:space="preserve"> HD-FDD REFSENS </w:t>
      </w:r>
      <w:r>
        <w:fldChar w:fldCharType="begin"/>
      </w:r>
      <w:r>
        <w:instrText xml:space="preserve"> REF _Ref178769324 \r \h </w:instrText>
      </w:r>
      <w:r>
        <w:fldChar w:fldCharType="separate"/>
      </w:r>
      <w:r>
        <w:t>[3]</w:t>
      </w:r>
      <w:r>
        <w:fldChar w:fldCharType="end"/>
      </w:r>
      <w:r>
        <w:t xml:space="preserve">. </w:t>
      </w:r>
      <w:r>
        <w:fldChar w:fldCharType="begin"/>
      </w:r>
      <w:r>
        <w:instrText xml:space="preserve"> REF _Ref178770108 \h </w:instrText>
      </w:r>
      <w:r>
        <w:fldChar w:fldCharType="separate"/>
      </w:r>
      <w:r>
        <w:t xml:space="preserve">Table </w:t>
      </w:r>
      <w:r>
        <w:rPr>
          <w:noProof/>
        </w:rPr>
        <w:t>1</w:t>
      </w:r>
      <w:r>
        <w:fldChar w:fldCharType="end"/>
      </w:r>
      <w:r>
        <w:t xml:space="preserve"> illustrates the rules for reference.</w:t>
      </w:r>
    </w:p>
    <w:p w14:paraId="1FEED6B9" w14:textId="25CA988E" w:rsidR="00827355" w:rsidRDefault="00827355" w:rsidP="00827355">
      <w:pPr>
        <w:pStyle w:val="Caption"/>
        <w:keepNext/>
      </w:pPr>
      <w:bookmarkStart w:id="6" w:name="_Ref178770108"/>
      <w:r>
        <w:t xml:space="preserve">Table </w:t>
      </w:r>
      <w:r>
        <w:fldChar w:fldCharType="begin"/>
      </w:r>
      <w:r>
        <w:instrText xml:space="preserve"> SEQ Table \* ARABIC </w:instrText>
      </w:r>
      <w:r>
        <w:fldChar w:fldCharType="separate"/>
      </w:r>
      <w:r w:rsidR="00BD1A69">
        <w:rPr>
          <w:noProof/>
        </w:rPr>
        <w:t>1</w:t>
      </w:r>
      <w:r>
        <w:fldChar w:fldCharType="end"/>
      </w:r>
      <w:bookmarkEnd w:id="6"/>
      <w:r>
        <w:t xml:space="preserve"> Proposed REFSENS tightening rules in TN.</w:t>
      </w:r>
    </w:p>
    <w:tbl>
      <w:tblPr>
        <w:tblStyle w:val="TableGrid"/>
        <w:tblW w:w="0" w:type="auto"/>
        <w:jc w:val="center"/>
        <w:tblLook w:val="04A0" w:firstRow="1" w:lastRow="0" w:firstColumn="1" w:lastColumn="0" w:noHBand="0" w:noVBand="1"/>
      </w:tblPr>
      <w:tblGrid>
        <w:gridCol w:w="2425"/>
        <w:gridCol w:w="2610"/>
        <w:gridCol w:w="4050"/>
      </w:tblGrid>
      <w:tr w:rsidR="00827355" w14:paraId="5F25C430" w14:textId="77777777" w:rsidTr="00A351DB">
        <w:trPr>
          <w:trHeight w:val="288"/>
          <w:jc w:val="center"/>
        </w:trPr>
        <w:tc>
          <w:tcPr>
            <w:tcW w:w="2425" w:type="dxa"/>
            <w:vAlign w:val="center"/>
          </w:tcPr>
          <w:p w14:paraId="28B034BA" w14:textId="77777777" w:rsidR="00827355" w:rsidRPr="00372E0F" w:rsidRDefault="00827355" w:rsidP="00A351DB">
            <w:pPr>
              <w:pStyle w:val="BodyText"/>
              <w:rPr>
                <w:lang w:val="en-US"/>
              </w:rPr>
            </w:pPr>
            <w:r w:rsidRPr="00372E0F">
              <w:rPr>
                <w:lang w:val="en-US"/>
              </w:rPr>
              <w:t>FD-FDD 5MHz REFSENS</w:t>
            </w:r>
          </w:p>
        </w:tc>
        <w:tc>
          <w:tcPr>
            <w:tcW w:w="2610" w:type="dxa"/>
            <w:vAlign w:val="center"/>
          </w:tcPr>
          <w:p w14:paraId="0AE37BEC" w14:textId="77777777" w:rsidR="00827355" w:rsidRPr="00372E0F" w:rsidRDefault="00827355" w:rsidP="00A351DB">
            <w:pPr>
              <w:pStyle w:val="BodyText"/>
              <w:rPr>
                <w:lang w:val="en-US"/>
              </w:rPr>
            </w:pPr>
            <w:r w:rsidRPr="00372E0F">
              <w:rPr>
                <w:lang w:val="en-US"/>
              </w:rPr>
              <w:t>HD-FDD REFSENS Tightening</w:t>
            </w:r>
          </w:p>
        </w:tc>
        <w:tc>
          <w:tcPr>
            <w:tcW w:w="4050" w:type="dxa"/>
            <w:vAlign w:val="center"/>
          </w:tcPr>
          <w:p w14:paraId="5415B0A0" w14:textId="77777777" w:rsidR="00827355" w:rsidRPr="00372E0F" w:rsidRDefault="00827355" w:rsidP="00A351DB">
            <w:pPr>
              <w:pStyle w:val="BodyText"/>
              <w:rPr>
                <w:lang w:val="en-US"/>
              </w:rPr>
            </w:pPr>
            <w:r w:rsidRPr="00372E0F">
              <w:rPr>
                <w:lang w:val="en-US"/>
              </w:rPr>
              <w:t>Bands</w:t>
            </w:r>
          </w:p>
        </w:tc>
      </w:tr>
      <w:tr w:rsidR="00827355" w14:paraId="36443275" w14:textId="77777777" w:rsidTr="00A351DB">
        <w:trPr>
          <w:trHeight w:val="288"/>
          <w:jc w:val="center"/>
        </w:trPr>
        <w:tc>
          <w:tcPr>
            <w:tcW w:w="2425" w:type="dxa"/>
            <w:vAlign w:val="center"/>
          </w:tcPr>
          <w:p w14:paraId="46E44C04" w14:textId="77777777" w:rsidR="00827355" w:rsidRPr="00372E0F" w:rsidRDefault="00827355" w:rsidP="00A351DB">
            <w:pPr>
              <w:pStyle w:val="BodyText"/>
              <w:rPr>
                <w:lang w:val="en-US"/>
              </w:rPr>
            </w:pPr>
            <w:r w:rsidRPr="00372E0F">
              <w:rPr>
                <w:lang w:val="en-US"/>
              </w:rPr>
              <w:t>≤ -100 dBm</w:t>
            </w:r>
          </w:p>
        </w:tc>
        <w:tc>
          <w:tcPr>
            <w:tcW w:w="2610" w:type="dxa"/>
            <w:vAlign w:val="center"/>
          </w:tcPr>
          <w:p w14:paraId="3F45027B" w14:textId="77777777" w:rsidR="00827355" w:rsidRPr="00372E0F" w:rsidRDefault="00827355" w:rsidP="00A351DB">
            <w:pPr>
              <w:pStyle w:val="BodyText"/>
              <w:rPr>
                <w:lang w:val="en-US"/>
              </w:rPr>
            </w:pPr>
            <w:r w:rsidRPr="00372E0F">
              <w:rPr>
                <w:lang w:val="en-US"/>
              </w:rPr>
              <w:t>0 dB</w:t>
            </w:r>
          </w:p>
        </w:tc>
        <w:tc>
          <w:tcPr>
            <w:tcW w:w="4050" w:type="dxa"/>
            <w:vAlign w:val="center"/>
          </w:tcPr>
          <w:p w14:paraId="557CF808" w14:textId="77777777" w:rsidR="00827355" w:rsidRPr="00372E0F" w:rsidRDefault="00827355" w:rsidP="00A351DB">
            <w:pPr>
              <w:pStyle w:val="BodyText"/>
              <w:rPr>
                <w:lang w:val="en-US"/>
              </w:rPr>
            </w:pPr>
            <w:r w:rsidRPr="00372E0F">
              <w:rPr>
                <w:lang w:val="en-US"/>
              </w:rPr>
              <w:t>n1, n18, n24, n70</w:t>
            </w:r>
          </w:p>
        </w:tc>
      </w:tr>
      <w:tr w:rsidR="00827355" w14:paraId="75191C28" w14:textId="77777777" w:rsidTr="00A351DB">
        <w:trPr>
          <w:trHeight w:val="288"/>
          <w:jc w:val="center"/>
        </w:trPr>
        <w:tc>
          <w:tcPr>
            <w:tcW w:w="2425" w:type="dxa"/>
            <w:vAlign w:val="center"/>
          </w:tcPr>
          <w:p w14:paraId="71508D64" w14:textId="77777777" w:rsidR="00827355" w:rsidRPr="00372E0F" w:rsidRDefault="00827355" w:rsidP="00A351DB">
            <w:pPr>
              <w:pStyle w:val="BodyText"/>
              <w:rPr>
                <w:lang w:val="en-US"/>
              </w:rPr>
            </w:pPr>
            <w:r w:rsidRPr="00372E0F">
              <w:rPr>
                <w:lang w:val="en-US"/>
              </w:rPr>
              <w:t>&gt; -100 dBm and ≤ -99 dBm</w:t>
            </w:r>
          </w:p>
        </w:tc>
        <w:tc>
          <w:tcPr>
            <w:tcW w:w="2610" w:type="dxa"/>
            <w:vAlign w:val="center"/>
          </w:tcPr>
          <w:p w14:paraId="3A4D1BD5" w14:textId="77777777" w:rsidR="00827355" w:rsidRPr="00372E0F" w:rsidRDefault="00827355" w:rsidP="00A351DB">
            <w:pPr>
              <w:pStyle w:val="BodyText"/>
              <w:rPr>
                <w:lang w:val="en-US"/>
              </w:rPr>
            </w:pPr>
            <w:r w:rsidRPr="00372E0F">
              <w:rPr>
                <w:lang w:val="en-US"/>
              </w:rPr>
              <w:t>0.5 dB</w:t>
            </w:r>
          </w:p>
        </w:tc>
        <w:tc>
          <w:tcPr>
            <w:tcW w:w="4050" w:type="dxa"/>
            <w:vAlign w:val="center"/>
          </w:tcPr>
          <w:p w14:paraId="3B318070" w14:textId="77777777" w:rsidR="00827355" w:rsidRPr="00372E0F" w:rsidRDefault="00827355" w:rsidP="00A351DB">
            <w:pPr>
              <w:pStyle w:val="BodyText"/>
              <w:rPr>
                <w:lang w:val="en-US"/>
              </w:rPr>
            </w:pPr>
            <w:r w:rsidRPr="00372E0F">
              <w:rPr>
                <w:lang w:val="en-US"/>
              </w:rPr>
              <w:t>n30, n65, n66, n74</w:t>
            </w:r>
          </w:p>
        </w:tc>
      </w:tr>
      <w:tr w:rsidR="00827355" w:rsidRPr="00BD1A69" w14:paraId="4DFCB770" w14:textId="77777777" w:rsidTr="00A351DB">
        <w:trPr>
          <w:trHeight w:val="288"/>
          <w:jc w:val="center"/>
        </w:trPr>
        <w:tc>
          <w:tcPr>
            <w:tcW w:w="2425" w:type="dxa"/>
            <w:vAlign w:val="center"/>
          </w:tcPr>
          <w:p w14:paraId="5F5A11B5" w14:textId="77777777" w:rsidR="00827355" w:rsidRPr="00372E0F" w:rsidRDefault="00827355" w:rsidP="00A351DB">
            <w:pPr>
              <w:pStyle w:val="BodyText"/>
              <w:rPr>
                <w:lang w:val="en-US"/>
              </w:rPr>
            </w:pPr>
            <w:r w:rsidRPr="00372E0F">
              <w:rPr>
                <w:lang w:val="en-US"/>
              </w:rPr>
              <w:t>&gt; -99 dBm</w:t>
            </w:r>
          </w:p>
        </w:tc>
        <w:tc>
          <w:tcPr>
            <w:tcW w:w="2610" w:type="dxa"/>
            <w:vAlign w:val="center"/>
          </w:tcPr>
          <w:p w14:paraId="1D662B3E" w14:textId="77777777" w:rsidR="00827355" w:rsidRPr="00372E0F" w:rsidRDefault="00827355" w:rsidP="00A351DB">
            <w:pPr>
              <w:pStyle w:val="BodyText"/>
              <w:rPr>
                <w:lang w:val="en-US"/>
              </w:rPr>
            </w:pPr>
            <w:r w:rsidRPr="00372E0F">
              <w:rPr>
                <w:lang w:val="en-US"/>
              </w:rPr>
              <w:t>0.8 dB</w:t>
            </w:r>
          </w:p>
        </w:tc>
        <w:tc>
          <w:tcPr>
            <w:tcW w:w="4050" w:type="dxa"/>
            <w:vAlign w:val="center"/>
          </w:tcPr>
          <w:p w14:paraId="73959EDF" w14:textId="77777777" w:rsidR="00827355" w:rsidRPr="00AF638C" w:rsidRDefault="00827355" w:rsidP="00A351DB">
            <w:pPr>
              <w:pStyle w:val="BodyText"/>
              <w:rPr>
                <w:lang w:val="pt-BR"/>
              </w:rPr>
            </w:pPr>
            <w:r w:rsidRPr="00AF638C">
              <w:rPr>
                <w:lang w:val="pt-BR"/>
              </w:rPr>
              <w:t>n2, n3, n5, n7, n8, n12, n13, n14, n20, n25, n26, n28, n71, n85</w:t>
            </w:r>
          </w:p>
        </w:tc>
      </w:tr>
    </w:tbl>
    <w:p w14:paraId="73162936" w14:textId="77777777" w:rsidR="00827355" w:rsidRPr="00BD1A69" w:rsidRDefault="00827355" w:rsidP="00827355">
      <w:pPr>
        <w:rPr>
          <w:lang w:val="pt-BR"/>
        </w:rPr>
      </w:pPr>
    </w:p>
    <w:p w14:paraId="3438018B" w14:textId="071D2208" w:rsidR="00827355" w:rsidRDefault="00827355" w:rsidP="00827355">
      <w:pPr>
        <w:rPr>
          <w:lang w:val="en-US"/>
        </w:rPr>
      </w:pPr>
      <w:r>
        <w:rPr>
          <w:lang w:val="en-US"/>
        </w:rPr>
        <w:t xml:space="preserve">The reasoning for 0.5 dB goes back to almost 10 years old limited survey on insertion loss difference between a SAW RF filter vs SAW duplex filter. As SAW RF filters have less insertion loss compared to SAW duplex filters and since HD-FDD implementations do not need duplex filters, REFSENS can be tightened by 0.5 </w:t>
      </w:r>
      <w:proofErr w:type="spellStart"/>
      <w:r>
        <w:rPr>
          <w:lang w:val="en-US"/>
        </w:rPr>
        <w:t>dB.</w:t>
      </w:r>
      <w:proofErr w:type="spellEnd"/>
      <w:r>
        <w:rPr>
          <w:lang w:val="en-US"/>
        </w:rPr>
        <w:t xml:space="preserve"> Further, the reasoning for 0dB was based on REFSENS of TDD bands.</w:t>
      </w:r>
    </w:p>
    <w:p w14:paraId="639FEDF6" w14:textId="4FA5319F" w:rsidR="00827355" w:rsidRPr="005049A2" w:rsidRDefault="00827355" w:rsidP="00827355">
      <w:pPr>
        <w:pStyle w:val="RAN4observation0"/>
        <w:ind w:left="284" w:hanging="360"/>
      </w:pPr>
      <w:bookmarkStart w:id="7" w:name="_Toc173444889"/>
      <w:bookmarkStart w:id="8" w:name="_Toc178776606"/>
      <w:bookmarkStart w:id="9" w:name="_Toc181976525"/>
      <w:r>
        <w:rPr>
          <w:lang w:val="en-US"/>
        </w:rPr>
        <w:t>Reasoning for 0.5 dB improvement goes back to almost 10 years old survey on insertion loss differences.</w:t>
      </w:r>
      <w:bookmarkEnd w:id="7"/>
      <w:bookmarkEnd w:id="8"/>
      <w:bookmarkEnd w:id="9"/>
      <w:r>
        <w:rPr>
          <w:lang w:val="en-US"/>
        </w:rPr>
        <w:t xml:space="preserve"> </w:t>
      </w:r>
    </w:p>
    <w:p w14:paraId="0978E69D" w14:textId="475CD6B1" w:rsidR="00827355" w:rsidRPr="00377FA4" w:rsidRDefault="00827355" w:rsidP="00827355">
      <w:pPr>
        <w:pStyle w:val="RAN4observation0"/>
        <w:ind w:left="284" w:hanging="360"/>
      </w:pPr>
      <w:bookmarkStart w:id="10" w:name="_Toc178776607"/>
      <w:bookmarkStart w:id="11" w:name="_Toc181976526"/>
      <w:r>
        <w:rPr>
          <w:lang w:val="en-US"/>
        </w:rPr>
        <w:t>Reasoning for 0 dB tightening was related to REFSESN of TDD bands.</w:t>
      </w:r>
      <w:bookmarkEnd w:id="10"/>
      <w:bookmarkEnd w:id="11"/>
    </w:p>
    <w:p w14:paraId="7E33CC41" w14:textId="45206706" w:rsidR="00827355" w:rsidRDefault="00827355" w:rsidP="00827355">
      <w:pPr>
        <w:rPr>
          <w:lang w:val="en-US"/>
        </w:rPr>
      </w:pPr>
      <w:r>
        <w:rPr>
          <w:lang w:val="en-US"/>
        </w:rPr>
        <w:t xml:space="preserve"> We did a limited survey of duplexers, RF filters, and TRX switches for n255 and n254, and noticed that the insertion loss difference ranges from 1.2 dB to 2 </w:t>
      </w:r>
      <w:proofErr w:type="spellStart"/>
      <w:r>
        <w:rPr>
          <w:lang w:val="en-US"/>
        </w:rPr>
        <w:t>dB.</w:t>
      </w:r>
      <w:proofErr w:type="spellEnd"/>
      <w:r>
        <w:rPr>
          <w:lang w:val="en-US"/>
        </w:rPr>
        <w:t xml:space="preserve"> This observation supports the 0.8 dB number that was proposed under more recent discussions done under Release 17 </w:t>
      </w:r>
      <w:proofErr w:type="spellStart"/>
      <w:r>
        <w:rPr>
          <w:lang w:val="en-US"/>
        </w:rPr>
        <w:t>RedCap</w:t>
      </w:r>
      <w:proofErr w:type="spellEnd"/>
      <w:r>
        <w:rPr>
          <w:lang w:val="en-US"/>
        </w:rPr>
        <w:t xml:space="preserve"> for HD-FDD case. Given that lot of improvement in device technology has happened over last 10 years, it is possible to leverage that improvement for improving the REFSENS.</w:t>
      </w:r>
    </w:p>
    <w:p w14:paraId="242FD4CC" w14:textId="77777777" w:rsidR="00827355" w:rsidRDefault="00827355" w:rsidP="00827355">
      <w:pPr>
        <w:pStyle w:val="RAN4observation0"/>
        <w:rPr>
          <w:lang w:val="en-US"/>
        </w:rPr>
      </w:pPr>
      <w:bookmarkStart w:id="12" w:name="_Toc178776608"/>
      <w:bookmarkStart w:id="13" w:name="_Toc181976527"/>
      <w:r>
        <w:rPr>
          <w:lang w:val="en-US"/>
        </w:rPr>
        <w:t>Recent survey on RF components showed that insertion loss difference ranges from 1.2dB to 2dB.</w:t>
      </w:r>
      <w:bookmarkEnd w:id="12"/>
      <w:bookmarkEnd w:id="13"/>
    </w:p>
    <w:p w14:paraId="5A036143" w14:textId="77777777" w:rsidR="00827355" w:rsidRDefault="00827355" w:rsidP="00827355">
      <w:r>
        <w:rPr>
          <w:lang w:val="en-US"/>
        </w:rPr>
        <w:t xml:space="preserve">Further, there are no TDD NTN bands, so </w:t>
      </w:r>
      <w:r w:rsidRPr="00D049E2">
        <w:t>utilizing TDD bands as an excuse for inaction hinder</w:t>
      </w:r>
      <w:r>
        <w:t>s</w:t>
      </w:r>
      <w:r w:rsidRPr="00D049E2">
        <w:t xml:space="preserve"> overall system efficiency</w:t>
      </w:r>
      <w:r>
        <w:t xml:space="preserve"> and improvements.</w:t>
      </w:r>
    </w:p>
    <w:p w14:paraId="4EB7284C" w14:textId="77777777" w:rsidR="00827355" w:rsidRDefault="00827355" w:rsidP="00827355">
      <w:pPr>
        <w:pStyle w:val="RAN4observation0"/>
        <w:rPr>
          <w:lang w:val="en-US"/>
        </w:rPr>
      </w:pPr>
      <w:bookmarkStart w:id="14" w:name="_Toc178776609"/>
      <w:bookmarkStart w:id="15" w:name="_Toc181976528"/>
      <w:r>
        <w:t>There are no TDD bands in NTN, so sticking to 0dB tightening is unjustified.</w:t>
      </w:r>
      <w:bookmarkEnd w:id="14"/>
      <w:bookmarkEnd w:id="15"/>
    </w:p>
    <w:p w14:paraId="6391C718" w14:textId="77777777" w:rsidR="00827355" w:rsidRPr="00D049E2" w:rsidRDefault="00827355" w:rsidP="00827355">
      <w:pPr>
        <w:pStyle w:val="RAN4proposal"/>
        <w:rPr>
          <w:lang w:val="en-US"/>
        </w:rPr>
      </w:pPr>
      <w:bookmarkStart w:id="16" w:name="_Toc178776610"/>
      <w:bookmarkStart w:id="17" w:name="_Toc181976529"/>
      <w:r>
        <w:rPr>
          <w:lang w:val="en-US"/>
        </w:rPr>
        <w:t>Utilize 0.8dB of tightening for both n255 and n254.</w:t>
      </w:r>
      <w:bookmarkEnd w:id="16"/>
      <w:bookmarkEnd w:id="17"/>
    </w:p>
    <w:p w14:paraId="22285A22" w14:textId="77777777" w:rsidR="00C312DC" w:rsidRDefault="00C312DC" w:rsidP="00C312DC">
      <w:pPr>
        <w:pStyle w:val="RAN4H2"/>
        <w:rPr>
          <w:rFonts w:eastAsia="SimSun"/>
          <w:lang w:val="en-US"/>
        </w:rPr>
      </w:pPr>
      <w:r>
        <w:t>Simultaneous operation with GNSS</w:t>
      </w:r>
    </w:p>
    <w:p w14:paraId="214759AB" w14:textId="579AB5A4" w:rsidR="00D828C2" w:rsidRDefault="00D828C2" w:rsidP="00C312DC">
      <w:pPr>
        <w:rPr>
          <w:lang w:val="en-US"/>
        </w:rPr>
      </w:pPr>
      <w:r>
        <w:rPr>
          <w:lang w:val="en-US"/>
        </w:rPr>
        <w:t>In the previous meeting, a discussion was raised about the operation</w:t>
      </w:r>
      <w:r w:rsidR="00BD1A69">
        <w:rPr>
          <w:lang w:val="en-US"/>
        </w:rPr>
        <w:t xml:space="preserve"> in parallel of GNSS with NR NTN, for bands n254 and n255. While the work item assumption is that a </w:t>
      </w:r>
      <w:proofErr w:type="spellStart"/>
      <w:r w:rsidR="00BD1A69">
        <w:rPr>
          <w:lang w:val="en-US"/>
        </w:rPr>
        <w:t>RedCap</w:t>
      </w:r>
      <w:proofErr w:type="spellEnd"/>
      <w:r w:rsidR="00BD1A69">
        <w:rPr>
          <w:lang w:val="en-US"/>
        </w:rPr>
        <w:t xml:space="preserve"> UE shall be capable to operate both concomitantly, there are concerns about some GNSS frequencies operating close to these bands and the absence of previous studies on this issue </w:t>
      </w:r>
      <w:r w:rsidR="00BD1A69">
        <w:rPr>
          <w:lang w:val="en-US"/>
        </w:rPr>
        <w:fldChar w:fldCharType="begin"/>
      </w:r>
      <w:r w:rsidR="00BD1A69">
        <w:rPr>
          <w:lang w:val="en-US"/>
        </w:rPr>
        <w:instrText xml:space="preserve"> REF _Ref181868073 \r \h </w:instrText>
      </w:r>
      <w:r w:rsidR="00BD1A69">
        <w:rPr>
          <w:lang w:val="en-US"/>
        </w:rPr>
      </w:r>
      <w:r w:rsidR="00BD1A69">
        <w:rPr>
          <w:lang w:val="en-US"/>
        </w:rPr>
        <w:fldChar w:fldCharType="separate"/>
      </w:r>
      <w:r w:rsidR="00BD1A69">
        <w:rPr>
          <w:lang w:val="en-US"/>
        </w:rPr>
        <w:t>[2]</w:t>
      </w:r>
      <w:r w:rsidR="00BD1A69">
        <w:rPr>
          <w:lang w:val="en-US"/>
        </w:rPr>
        <w:fldChar w:fldCharType="end"/>
      </w:r>
      <w:r w:rsidR="00BD1A69">
        <w:rPr>
          <w:lang w:val="en-US"/>
        </w:rPr>
        <w:t>.  The issue is related to the following frequencies:</w:t>
      </w:r>
    </w:p>
    <w:p w14:paraId="24A81565" w14:textId="151DFBCD" w:rsidR="00BD1A69" w:rsidRDefault="00BD1A69" w:rsidP="00BD1A69">
      <w:pPr>
        <w:pStyle w:val="Caption"/>
        <w:keepNext/>
      </w:pPr>
      <w:r>
        <w:t xml:space="preserve">Table </w:t>
      </w:r>
      <w:r>
        <w:fldChar w:fldCharType="begin"/>
      </w:r>
      <w:r>
        <w:instrText xml:space="preserve"> SEQ Table \* ARABIC </w:instrText>
      </w:r>
      <w:r>
        <w:fldChar w:fldCharType="separate"/>
      </w:r>
      <w:r>
        <w:rPr>
          <w:noProof/>
        </w:rPr>
        <w:t>2</w:t>
      </w:r>
      <w:r>
        <w:fldChar w:fldCharType="end"/>
      </w:r>
      <w:r>
        <w:t>. Summary of frequencies potentially impacted by co-existence</w:t>
      </w:r>
    </w:p>
    <w:tbl>
      <w:tblPr>
        <w:tblStyle w:val="TableGrid"/>
        <w:tblW w:w="0" w:type="auto"/>
        <w:tblLook w:val="04A0" w:firstRow="1" w:lastRow="0" w:firstColumn="1" w:lastColumn="0" w:noHBand="0" w:noVBand="1"/>
      </w:tblPr>
      <w:tblGrid>
        <w:gridCol w:w="4808"/>
        <w:gridCol w:w="4809"/>
      </w:tblGrid>
      <w:tr w:rsidR="00BD1A69" w14:paraId="304C40BC" w14:textId="77777777" w:rsidTr="00BD1A69">
        <w:tc>
          <w:tcPr>
            <w:tcW w:w="4808" w:type="dxa"/>
          </w:tcPr>
          <w:p w14:paraId="2BE63AFB" w14:textId="16066167" w:rsidR="00BD1A69" w:rsidRDefault="00BD1A69" w:rsidP="00C312DC">
            <w:pPr>
              <w:rPr>
                <w:lang w:val="en-US"/>
              </w:rPr>
            </w:pPr>
            <w:r>
              <w:rPr>
                <w:lang w:val="en-US"/>
              </w:rPr>
              <w:t>Channel</w:t>
            </w:r>
          </w:p>
        </w:tc>
        <w:tc>
          <w:tcPr>
            <w:tcW w:w="4809" w:type="dxa"/>
          </w:tcPr>
          <w:p w14:paraId="3A7186C7" w14:textId="6E4D7A48" w:rsidR="00BD1A69" w:rsidRDefault="00BD1A69" w:rsidP="00C312DC">
            <w:pPr>
              <w:rPr>
                <w:lang w:val="en-US"/>
              </w:rPr>
            </w:pPr>
            <w:r>
              <w:rPr>
                <w:lang w:val="en-US"/>
              </w:rPr>
              <w:t>Band</w:t>
            </w:r>
          </w:p>
        </w:tc>
      </w:tr>
      <w:tr w:rsidR="00BD1A69" w14:paraId="720D59AC" w14:textId="77777777" w:rsidTr="00BD1A69">
        <w:tc>
          <w:tcPr>
            <w:tcW w:w="4808" w:type="dxa"/>
          </w:tcPr>
          <w:p w14:paraId="785C27DD" w14:textId="6B764D95" w:rsidR="00BD1A69" w:rsidRDefault="00BD1A69" w:rsidP="00C312DC">
            <w:pPr>
              <w:rPr>
                <w:lang w:val="en-US"/>
              </w:rPr>
            </w:pPr>
            <w:r>
              <w:rPr>
                <w:lang w:val="en-US"/>
              </w:rPr>
              <w:t>n254 (uplink)</w:t>
            </w:r>
          </w:p>
        </w:tc>
        <w:tc>
          <w:tcPr>
            <w:tcW w:w="4809" w:type="dxa"/>
          </w:tcPr>
          <w:p w14:paraId="027232A3" w14:textId="3690D229" w:rsidR="00BD1A69" w:rsidRDefault="00BD1A69" w:rsidP="00C312DC">
            <w:pPr>
              <w:rPr>
                <w:lang w:val="en-US"/>
              </w:rPr>
            </w:pPr>
            <w:r>
              <w:rPr>
                <w:lang w:val="en-US"/>
              </w:rPr>
              <w:t>1610-1626.5 MHz</w:t>
            </w:r>
          </w:p>
        </w:tc>
      </w:tr>
      <w:tr w:rsidR="00BD1A69" w14:paraId="65C0F9C7" w14:textId="77777777" w:rsidTr="00BD1A69">
        <w:tc>
          <w:tcPr>
            <w:tcW w:w="4808" w:type="dxa"/>
          </w:tcPr>
          <w:p w14:paraId="0536201D" w14:textId="5137B1E3" w:rsidR="00BD1A69" w:rsidRDefault="00BD1A69" w:rsidP="00C312DC">
            <w:pPr>
              <w:rPr>
                <w:lang w:val="en-US"/>
              </w:rPr>
            </w:pPr>
            <w:r>
              <w:rPr>
                <w:lang w:val="en-US"/>
              </w:rPr>
              <w:t>n255 (</w:t>
            </w:r>
            <w:r w:rsidR="00EF1B48">
              <w:rPr>
                <w:lang w:val="en-US"/>
              </w:rPr>
              <w:t>downlink</w:t>
            </w:r>
            <w:r>
              <w:rPr>
                <w:lang w:val="en-US"/>
              </w:rPr>
              <w:t>)</w:t>
            </w:r>
          </w:p>
        </w:tc>
        <w:tc>
          <w:tcPr>
            <w:tcW w:w="4809" w:type="dxa"/>
          </w:tcPr>
          <w:p w14:paraId="087AB010" w14:textId="0A6D6B8E" w:rsidR="00BD1A69" w:rsidRDefault="00BD1A69" w:rsidP="00C312DC">
            <w:pPr>
              <w:rPr>
                <w:lang w:val="en-US"/>
              </w:rPr>
            </w:pPr>
            <w:r w:rsidRPr="00BD1A69">
              <w:t>1</w:t>
            </w:r>
            <w:r w:rsidR="00E46823">
              <w:t>525</w:t>
            </w:r>
            <w:r w:rsidRPr="00BD1A69">
              <w:t xml:space="preserve"> MHz – 1</w:t>
            </w:r>
            <w:r w:rsidR="005B0B3F">
              <w:t>559</w:t>
            </w:r>
            <w:r w:rsidRPr="00BD1A69">
              <w:t xml:space="preserve"> MHz</w:t>
            </w:r>
          </w:p>
        </w:tc>
      </w:tr>
      <w:tr w:rsidR="00BD1A69" w14:paraId="177D6013" w14:textId="77777777" w:rsidTr="00BD1A69">
        <w:tc>
          <w:tcPr>
            <w:tcW w:w="4808" w:type="dxa"/>
          </w:tcPr>
          <w:p w14:paraId="373B2853" w14:textId="0E109971" w:rsidR="00BD1A69" w:rsidRDefault="00BD1A69" w:rsidP="00C312DC">
            <w:pPr>
              <w:rPr>
                <w:lang w:val="en-US"/>
              </w:rPr>
            </w:pPr>
            <w:r>
              <w:rPr>
                <w:lang w:val="en-US"/>
              </w:rPr>
              <w:t>GPS Band L1</w:t>
            </w:r>
          </w:p>
        </w:tc>
        <w:tc>
          <w:tcPr>
            <w:tcW w:w="4809" w:type="dxa"/>
          </w:tcPr>
          <w:p w14:paraId="7386DA9B" w14:textId="65BA91DF" w:rsidR="00BD1A69" w:rsidRDefault="00BD1A69" w:rsidP="00C312DC">
            <w:pPr>
              <w:rPr>
                <w:lang w:val="en-US"/>
              </w:rPr>
            </w:pPr>
            <w:r>
              <w:rPr>
                <w:lang w:val="en-US"/>
              </w:rPr>
              <w:t>1567.5 MHz -</w:t>
            </w:r>
            <w:r w:rsidRPr="00BD1A69">
              <w:rPr>
                <w:lang w:val="en-US"/>
              </w:rPr>
              <w:t>1583</w:t>
            </w:r>
            <w:r>
              <w:rPr>
                <w:lang w:val="en-US"/>
              </w:rPr>
              <w:t xml:space="preserve"> MHz</w:t>
            </w:r>
          </w:p>
        </w:tc>
      </w:tr>
      <w:tr w:rsidR="00BD1A69" w14:paraId="272A1A64" w14:textId="77777777" w:rsidTr="00BD1A69">
        <w:tc>
          <w:tcPr>
            <w:tcW w:w="4808" w:type="dxa"/>
          </w:tcPr>
          <w:p w14:paraId="3FDB84CE" w14:textId="25F4968B" w:rsidR="00BD1A69" w:rsidRDefault="00EB7CAD" w:rsidP="00C312DC">
            <w:pPr>
              <w:rPr>
                <w:lang w:val="en-US"/>
              </w:rPr>
            </w:pPr>
            <w:r>
              <w:rPr>
                <w:lang w:val="en-US"/>
              </w:rPr>
              <w:t xml:space="preserve">GLONASS </w:t>
            </w:r>
            <w:r w:rsidR="00BD1A69">
              <w:rPr>
                <w:lang w:val="en-US"/>
              </w:rPr>
              <w:t>Band G1</w:t>
            </w:r>
          </w:p>
        </w:tc>
        <w:tc>
          <w:tcPr>
            <w:tcW w:w="4809" w:type="dxa"/>
          </w:tcPr>
          <w:p w14:paraId="6382ACBF" w14:textId="4F8D2224" w:rsidR="00BD1A69" w:rsidRDefault="00BD1A69" w:rsidP="00C312DC">
            <w:pPr>
              <w:rPr>
                <w:lang w:val="en-US"/>
              </w:rPr>
            </w:pPr>
            <w:r w:rsidRPr="00BD1A69">
              <w:t xml:space="preserve">1589.0625 MHz </w:t>
            </w:r>
            <w:r>
              <w:t>-</w:t>
            </w:r>
            <w:r w:rsidRPr="00BD1A69">
              <w:t xml:space="preserve"> 1605.375 </w:t>
            </w:r>
            <w:proofErr w:type="spellStart"/>
            <w:r w:rsidRPr="00BD1A69">
              <w:t>MHz.</w:t>
            </w:r>
            <w:proofErr w:type="spellEnd"/>
          </w:p>
        </w:tc>
      </w:tr>
      <w:tr w:rsidR="008C425A" w14:paraId="2F1C5AD9" w14:textId="77777777" w:rsidTr="00BD1A69">
        <w:tc>
          <w:tcPr>
            <w:tcW w:w="4808" w:type="dxa"/>
          </w:tcPr>
          <w:p w14:paraId="2E54CBC5" w14:textId="0BA2634A" w:rsidR="008C425A" w:rsidRDefault="008C425A" w:rsidP="00C312DC">
            <w:pPr>
              <w:rPr>
                <w:lang w:val="en-US"/>
              </w:rPr>
            </w:pPr>
            <w:proofErr w:type="spellStart"/>
            <w:r>
              <w:rPr>
                <w:lang w:val="en-US"/>
              </w:rPr>
              <w:t>BeiDou</w:t>
            </w:r>
            <w:proofErr w:type="spellEnd"/>
            <w:r w:rsidR="00A805EF">
              <w:rPr>
                <w:lang w:val="en-US"/>
              </w:rPr>
              <w:t xml:space="preserve"> B1C</w:t>
            </w:r>
          </w:p>
        </w:tc>
        <w:tc>
          <w:tcPr>
            <w:tcW w:w="4809" w:type="dxa"/>
          </w:tcPr>
          <w:p w14:paraId="061A041C" w14:textId="2D183994" w:rsidR="008C425A" w:rsidRPr="00BD1A69" w:rsidRDefault="00A805EF" w:rsidP="00C312DC">
            <w:r>
              <w:t>1575.42 MHz</w:t>
            </w:r>
          </w:p>
        </w:tc>
      </w:tr>
    </w:tbl>
    <w:p w14:paraId="10E2B1B6" w14:textId="77777777" w:rsidR="00BD1A69" w:rsidRDefault="00BD1A69" w:rsidP="00C312DC">
      <w:pPr>
        <w:rPr>
          <w:lang w:val="en-US"/>
        </w:rPr>
      </w:pPr>
    </w:p>
    <w:p w14:paraId="12F9B45D" w14:textId="7D2CF82C" w:rsidR="00BD1A69" w:rsidRDefault="00BD1A69" w:rsidP="00C312DC">
      <w:pPr>
        <w:rPr>
          <w:lang w:val="en-US"/>
        </w:rPr>
      </w:pPr>
      <w:r>
        <w:rPr>
          <w:lang w:val="en-US"/>
        </w:rPr>
        <w:lastRenderedPageBreak/>
        <w:t xml:space="preserve">It is clear that the impact is more stringent related to the </w:t>
      </w:r>
      <w:r w:rsidR="00EB7CAD">
        <w:rPr>
          <w:lang w:val="en-US"/>
        </w:rPr>
        <w:t xml:space="preserve">GLONASS </w:t>
      </w:r>
      <w:r>
        <w:rPr>
          <w:lang w:val="en-US"/>
        </w:rPr>
        <w:t xml:space="preserve">Band G1, which is very closely located to the UL of band n254, which might represent that the own transmission of the UE in UL might be seen as practical jammer to the reception of </w:t>
      </w:r>
      <w:r w:rsidR="00EB7CAD">
        <w:rPr>
          <w:lang w:val="en-US"/>
        </w:rPr>
        <w:t xml:space="preserve">GLONASS </w:t>
      </w:r>
      <w:r>
        <w:rPr>
          <w:lang w:val="en-US"/>
        </w:rPr>
        <w:t xml:space="preserve">on said frequency. </w:t>
      </w:r>
    </w:p>
    <w:p w14:paraId="0F961260" w14:textId="662B3BDA" w:rsidR="00BD1A69" w:rsidRDefault="00BD1A69" w:rsidP="00C312DC">
      <w:pPr>
        <w:rPr>
          <w:lang w:val="en-US"/>
        </w:rPr>
      </w:pPr>
      <w:r>
        <w:rPr>
          <w:lang w:val="en-US"/>
        </w:rPr>
        <w:t xml:space="preserve">However, there are still GNSS bands available that are not suffering from this issue (for example </w:t>
      </w:r>
      <w:r w:rsidR="0043163B">
        <w:rPr>
          <w:lang w:val="en-US"/>
        </w:rPr>
        <w:t xml:space="preserve">GLONASS </w:t>
      </w:r>
      <w:r>
        <w:rPr>
          <w:lang w:val="en-US"/>
        </w:rPr>
        <w:t xml:space="preserve">bands G2 and G3 and GPS band L1).  This means that depending on UE implementation, and the GNSS signals (and frequencies) available in a given location, not all UEs will be harmed by this collision all the time. </w:t>
      </w:r>
    </w:p>
    <w:p w14:paraId="5C73A93B" w14:textId="0739FEC7" w:rsidR="00BD1A69" w:rsidRDefault="00BD1A69" w:rsidP="00BD1A69">
      <w:pPr>
        <w:pStyle w:val="RAN4observation0"/>
        <w:rPr>
          <w:lang w:val="en-US"/>
        </w:rPr>
      </w:pPr>
      <w:bookmarkStart w:id="18" w:name="_Toc181976530"/>
      <w:r>
        <w:rPr>
          <w:lang w:val="en-US"/>
        </w:rPr>
        <w:t>Not all UEs will be harmed by the potential interference between UL and GNSS frequencies.</w:t>
      </w:r>
      <w:bookmarkEnd w:id="18"/>
      <w:r>
        <w:rPr>
          <w:lang w:val="en-US"/>
        </w:rPr>
        <w:t xml:space="preserve"> </w:t>
      </w:r>
    </w:p>
    <w:p w14:paraId="4C0B31EA" w14:textId="5E830D53" w:rsidR="00BD1A69" w:rsidRDefault="00BD1A69" w:rsidP="00BD1A69">
      <w:pPr>
        <w:rPr>
          <w:lang w:val="en-US"/>
        </w:rPr>
      </w:pPr>
      <w:r>
        <w:rPr>
          <w:lang w:val="en-US"/>
        </w:rPr>
        <w:t xml:space="preserve">Moreover, the issue is obviously more pronounced when the UE is actively performing UL transmissions. It is still unclear whether a short burst of UL transmissions is sufficient to jam the GNSS signal in such frequencies or whether long UL transmissions are necessary to cause the faulty condition. </w:t>
      </w:r>
    </w:p>
    <w:p w14:paraId="5E268B64" w14:textId="69A5A94A" w:rsidR="00BD1A69" w:rsidRDefault="00BD1A69" w:rsidP="00BD1A69">
      <w:pPr>
        <w:pStyle w:val="RAN4observation0"/>
        <w:rPr>
          <w:lang w:val="en-US"/>
        </w:rPr>
      </w:pPr>
      <w:bookmarkStart w:id="19" w:name="_Toc181976531"/>
      <w:r>
        <w:rPr>
          <w:lang w:val="en-US"/>
        </w:rPr>
        <w:t xml:space="preserve">The issue is related to NR NTN UL transmission and not DL reception on the UE </w:t>
      </w:r>
      <w:r w:rsidR="00EB61A5">
        <w:rPr>
          <w:lang w:val="en-US"/>
        </w:rPr>
        <w:t>side and</w:t>
      </w:r>
      <w:r>
        <w:rPr>
          <w:lang w:val="en-US"/>
        </w:rPr>
        <w:t xml:space="preserve"> might be dependent on the duration of the UL transmission.</w:t>
      </w:r>
      <w:bookmarkEnd w:id="19"/>
      <w:r>
        <w:rPr>
          <w:lang w:val="en-US"/>
        </w:rPr>
        <w:t xml:space="preserve"> </w:t>
      </w:r>
    </w:p>
    <w:p w14:paraId="6A019248" w14:textId="3FA133B0" w:rsidR="00BD1A69" w:rsidRPr="00BD1A69" w:rsidRDefault="00BD1A69" w:rsidP="00BD1A69">
      <w:pPr>
        <w:rPr>
          <w:lang w:val="en-US"/>
        </w:rPr>
      </w:pPr>
      <w:r>
        <w:rPr>
          <w:lang w:val="en-US"/>
        </w:rPr>
        <w:t xml:space="preserve">The discussion above, with the respective observations is needed to clarify exactly what the problem is. The specification effort might strive to find a solution that can be applicable only for certain UEs (potentially UE triggered) and that do not interfere with DL receptions. In the absence of previous study in the specification efforts, the impact of short UL transmissions might also be left for UE to estimate and apply corrective action. In other words, we would </w:t>
      </w:r>
      <w:r w:rsidR="004901DC">
        <w:rPr>
          <w:lang w:val="en-US"/>
        </w:rPr>
        <w:t>favor</w:t>
      </w:r>
      <w:r>
        <w:rPr>
          <w:lang w:val="en-US"/>
        </w:rPr>
        <w:t xml:space="preserve"> a solution that allows for in-device coexistence instead of the introduction of a new measurement gap for GNSS (as needed for NB-IoT devices).  Besides, GNSS Measurement gaps have considerable impact on RRM cell measurements. </w:t>
      </w:r>
    </w:p>
    <w:p w14:paraId="5FC5BF44" w14:textId="21C8CCCE" w:rsidR="00BD1A69" w:rsidRDefault="00BD1A69" w:rsidP="00BD1A69">
      <w:pPr>
        <w:pStyle w:val="RAN4observation0"/>
        <w:rPr>
          <w:lang w:val="en-US"/>
        </w:rPr>
      </w:pPr>
      <w:bookmarkStart w:id="20" w:name="_Toc181976532"/>
      <w:r>
        <w:rPr>
          <w:lang w:val="en-US"/>
        </w:rPr>
        <w:t xml:space="preserve">IDC solutions are </w:t>
      </w:r>
      <w:r w:rsidR="008B68BF">
        <w:rPr>
          <w:lang w:val="en-US"/>
        </w:rPr>
        <w:t>favored</w:t>
      </w:r>
      <w:r>
        <w:rPr>
          <w:lang w:val="en-US"/>
        </w:rPr>
        <w:t xml:space="preserve"> over GNSS measurement gaps to address this issue.</w:t>
      </w:r>
      <w:bookmarkEnd w:id="20"/>
      <w:r>
        <w:rPr>
          <w:lang w:val="en-US"/>
        </w:rPr>
        <w:t xml:space="preserve"> </w:t>
      </w:r>
    </w:p>
    <w:p w14:paraId="1D603278" w14:textId="0D770AAE" w:rsidR="00BD1A69" w:rsidRDefault="00BD1A69" w:rsidP="00BD1A69">
      <w:pPr>
        <w:rPr>
          <w:lang w:val="en-US"/>
        </w:rPr>
      </w:pPr>
      <w:r>
        <w:rPr>
          <w:lang w:val="en-US"/>
        </w:rPr>
        <w:t>Based on this discussion we are ready to comment on the solutions provided in the previous WF:</w:t>
      </w:r>
    </w:p>
    <w:tbl>
      <w:tblPr>
        <w:tblStyle w:val="TableGrid"/>
        <w:tblW w:w="0" w:type="auto"/>
        <w:tblLook w:val="04A0" w:firstRow="1" w:lastRow="0" w:firstColumn="1" w:lastColumn="0" w:noHBand="0" w:noVBand="1"/>
      </w:tblPr>
      <w:tblGrid>
        <w:gridCol w:w="9617"/>
      </w:tblGrid>
      <w:tr w:rsidR="00BD1A69" w14:paraId="72DCE645" w14:textId="77777777" w:rsidTr="00BD1A69">
        <w:tc>
          <w:tcPr>
            <w:tcW w:w="9617" w:type="dxa"/>
          </w:tcPr>
          <w:p w14:paraId="06EE9E15" w14:textId="77777777" w:rsidR="00BD1A69" w:rsidRPr="00BD1A69" w:rsidRDefault="00BD1A69" w:rsidP="00BD1A69">
            <w:r w:rsidRPr="00BD1A69">
              <w:t>Issue 1-3: Simultaneous operation with GNSS</w:t>
            </w:r>
          </w:p>
          <w:p w14:paraId="0B334A6C" w14:textId="77777777" w:rsidR="00BD1A69" w:rsidRPr="00BD1A69" w:rsidRDefault="00BD1A69" w:rsidP="00BD1A69">
            <w:pPr>
              <w:rPr>
                <w:b/>
              </w:rPr>
            </w:pPr>
            <w:r w:rsidRPr="00BD1A69">
              <w:rPr>
                <w:b/>
              </w:rPr>
              <w:t xml:space="preserve">Open items: </w:t>
            </w:r>
          </w:p>
          <w:p w14:paraId="49BACCF4" w14:textId="77777777" w:rsidR="00BD1A69" w:rsidRPr="00BD1A69" w:rsidRDefault="00BD1A69" w:rsidP="00BD1A69">
            <w:pPr>
              <w:numPr>
                <w:ilvl w:val="0"/>
                <w:numId w:val="31"/>
              </w:numPr>
              <w:rPr>
                <w:bCs/>
                <w:lang w:val="en-US"/>
              </w:rPr>
            </w:pPr>
            <w:r w:rsidRPr="00BD1A69">
              <w:rPr>
                <w:bCs/>
                <w:lang w:val="en-US"/>
              </w:rPr>
              <w:t>Strive towards common solution for (e)</w:t>
            </w:r>
            <w:proofErr w:type="spellStart"/>
            <w:r w:rsidRPr="00BD1A69">
              <w:rPr>
                <w:bCs/>
                <w:lang w:val="en-US"/>
              </w:rPr>
              <w:t>RedCap</w:t>
            </w:r>
            <w:proofErr w:type="spellEnd"/>
            <w:r w:rsidRPr="00BD1A69">
              <w:rPr>
                <w:bCs/>
                <w:lang w:val="en-US"/>
              </w:rPr>
              <w:t xml:space="preserve"> NR NTN and non-</w:t>
            </w:r>
            <w:proofErr w:type="spellStart"/>
            <w:r w:rsidRPr="00BD1A69">
              <w:rPr>
                <w:bCs/>
                <w:lang w:val="en-US"/>
              </w:rPr>
              <w:t>RedCap</w:t>
            </w:r>
            <w:proofErr w:type="spellEnd"/>
            <w:r w:rsidRPr="00BD1A69">
              <w:rPr>
                <w:bCs/>
                <w:lang w:val="en-US"/>
              </w:rPr>
              <w:t xml:space="preserve"> NR NTN</w:t>
            </w:r>
          </w:p>
          <w:p w14:paraId="1E557D91" w14:textId="77777777" w:rsidR="00BD1A69" w:rsidRPr="00BD1A69" w:rsidRDefault="00BD1A69" w:rsidP="00BD1A69">
            <w:pPr>
              <w:numPr>
                <w:ilvl w:val="0"/>
                <w:numId w:val="31"/>
              </w:numPr>
              <w:rPr>
                <w:lang w:val="en-US"/>
              </w:rPr>
            </w:pPr>
            <w:r w:rsidRPr="00BD1A69">
              <w:rPr>
                <w:bCs/>
                <w:lang w:val="en-US"/>
              </w:rPr>
              <w:t>Consider asking RAN1/2 to ensure IDC framework allows appropriate configurations to ensure GNSS location acquisition and NR NTN can operate in parallel in bands with UL close to GNSS frequencies</w:t>
            </w:r>
          </w:p>
          <w:p w14:paraId="50BEDDBF" w14:textId="77777777" w:rsidR="00BD1A69" w:rsidRPr="00BD1A69" w:rsidRDefault="00BD1A69" w:rsidP="00BD1A69">
            <w:pPr>
              <w:numPr>
                <w:ilvl w:val="0"/>
                <w:numId w:val="31"/>
              </w:numPr>
              <w:rPr>
                <w:lang w:val="en-US"/>
              </w:rPr>
            </w:pPr>
            <w:r w:rsidRPr="00BD1A69">
              <w:rPr>
                <w:bCs/>
                <w:lang w:val="en-US"/>
              </w:rPr>
              <w:t>Encourage further evaluations in RAN4 including but not limited to</w:t>
            </w:r>
          </w:p>
          <w:p w14:paraId="454DB976" w14:textId="77777777" w:rsidR="00BD1A69" w:rsidRPr="00BD1A69" w:rsidRDefault="00BD1A69" w:rsidP="00BD1A69">
            <w:pPr>
              <w:numPr>
                <w:ilvl w:val="1"/>
                <w:numId w:val="31"/>
              </w:numPr>
              <w:rPr>
                <w:lang w:val="en-US"/>
              </w:rPr>
            </w:pPr>
            <w:r w:rsidRPr="00BD1A69">
              <w:rPr>
                <w:bCs/>
                <w:lang w:val="en-US"/>
              </w:rPr>
              <w:t>Whether potential new solution(s) apply only from rel-19 or are early implementable</w:t>
            </w:r>
          </w:p>
          <w:p w14:paraId="51D0ABDF" w14:textId="77777777" w:rsidR="00BD1A69" w:rsidRPr="00BD1A69" w:rsidRDefault="00BD1A69" w:rsidP="00BD1A69">
            <w:pPr>
              <w:numPr>
                <w:ilvl w:val="1"/>
                <w:numId w:val="31"/>
              </w:numPr>
              <w:rPr>
                <w:lang w:val="en-US"/>
              </w:rPr>
            </w:pPr>
            <w:r w:rsidRPr="00BD1A69">
              <w:rPr>
                <w:bCs/>
                <w:lang w:val="en-US"/>
              </w:rPr>
              <w:t>Whether UE speed needs to be considered</w:t>
            </w:r>
          </w:p>
          <w:p w14:paraId="399DB95D" w14:textId="77777777" w:rsidR="00BD1A69" w:rsidRDefault="00BD1A69" w:rsidP="00BD1A69">
            <w:pPr>
              <w:rPr>
                <w:lang w:val="en-US"/>
              </w:rPr>
            </w:pPr>
          </w:p>
        </w:tc>
      </w:tr>
    </w:tbl>
    <w:p w14:paraId="6207D61B" w14:textId="77777777" w:rsidR="00BD1A69" w:rsidRDefault="00BD1A69" w:rsidP="00BD1A69">
      <w:pPr>
        <w:rPr>
          <w:lang w:val="en-US"/>
        </w:rPr>
      </w:pPr>
    </w:p>
    <w:p w14:paraId="56A395D3" w14:textId="77777777" w:rsidR="00110177" w:rsidRDefault="00BD1A69" w:rsidP="00BD1A69">
      <w:pPr>
        <w:rPr>
          <w:lang w:val="en-US"/>
        </w:rPr>
      </w:pPr>
      <w:r>
        <w:rPr>
          <w:lang w:val="en-US"/>
        </w:rPr>
        <w:t xml:space="preserve">We agree that this problem is not related only to </w:t>
      </w:r>
      <w:proofErr w:type="spellStart"/>
      <w:r>
        <w:rPr>
          <w:lang w:val="en-US"/>
        </w:rPr>
        <w:t>RedCap</w:t>
      </w:r>
      <w:proofErr w:type="spellEnd"/>
      <w:r>
        <w:rPr>
          <w:lang w:val="en-US"/>
        </w:rPr>
        <w:t xml:space="preserve"> UEs, but also NR NTN UEs that operate in the same bands, and therefore we shall strive for a common harmonized solution. As a principle, we should discuss a solution that is applicable for </w:t>
      </w:r>
      <w:proofErr w:type="spellStart"/>
      <w:r>
        <w:rPr>
          <w:lang w:val="en-US"/>
        </w:rPr>
        <w:t>RedCap</w:t>
      </w:r>
      <w:proofErr w:type="spellEnd"/>
      <w:r>
        <w:rPr>
          <w:lang w:val="en-US"/>
        </w:rPr>
        <w:t xml:space="preserve"> UE but is not restricted for this type of UEs.  Regarding the applicability of said solution for previous releases (before Rel-19), we see it as potentially good, but not the end-goal of the solution to be designed. It is more important to have a good solution in place (if RAN1/2 agree that a new solution needs to be designed) than potentially have a “compromised, handicapped” solution due to concerns with backwards compatibility.</w:t>
      </w:r>
    </w:p>
    <w:p w14:paraId="26A7A086" w14:textId="5E72FB46" w:rsidR="00BD1A69" w:rsidRDefault="00090AB8" w:rsidP="0021076A">
      <w:pPr>
        <w:pStyle w:val="RAN4proposal"/>
        <w:rPr>
          <w:lang w:val="en-US"/>
        </w:rPr>
      </w:pPr>
      <w:bookmarkStart w:id="21" w:name="_Toc181976533"/>
      <w:r>
        <w:rPr>
          <w:lang w:val="en-US"/>
        </w:rPr>
        <w:t xml:space="preserve">Agree to have a common harmonized solution </w:t>
      </w:r>
      <w:r w:rsidR="00CF7ED9">
        <w:rPr>
          <w:lang w:val="en-US"/>
        </w:rPr>
        <w:t xml:space="preserve">applicable to </w:t>
      </w:r>
      <w:r w:rsidR="00F31F07">
        <w:rPr>
          <w:lang w:val="en-US"/>
        </w:rPr>
        <w:t xml:space="preserve">both </w:t>
      </w:r>
      <w:proofErr w:type="spellStart"/>
      <w:r w:rsidR="00CC4E73">
        <w:rPr>
          <w:lang w:val="en-US"/>
        </w:rPr>
        <w:t>RedCap</w:t>
      </w:r>
      <w:proofErr w:type="spellEnd"/>
      <w:r w:rsidR="00CC4E73">
        <w:rPr>
          <w:lang w:val="en-US"/>
        </w:rPr>
        <w:t xml:space="preserve"> and non-</w:t>
      </w:r>
      <w:proofErr w:type="spellStart"/>
      <w:r w:rsidR="00CC4E73">
        <w:rPr>
          <w:lang w:val="en-US"/>
        </w:rPr>
        <w:t>RedCap</w:t>
      </w:r>
      <w:proofErr w:type="spellEnd"/>
      <w:r w:rsidR="00CC4E73">
        <w:rPr>
          <w:lang w:val="en-US"/>
        </w:rPr>
        <w:t xml:space="preserve"> </w:t>
      </w:r>
      <w:r w:rsidR="002A21EE">
        <w:rPr>
          <w:lang w:val="en-US"/>
        </w:rPr>
        <w:t xml:space="preserve">NR </w:t>
      </w:r>
      <w:r w:rsidR="007F38B5">
        <w:rPr>
          <w:lang w:val="en-US"/>
        </w:rPr>
        <w:t>NTN UEs</w:t>
      </w:r>
      <w:r w:rsidR="00CC4E73">
        <w:rPr>
          <w:lang w:val="en-US"/>
        </w:rPr>
        <w:t>.</w:t>
      </w:r>
      <w:bookmarkEnd w:id="21"/>
    </w:p>
    <w:p w14:paraId="13F42BAF" w14:textId="5C60E692" w:rsidR="00BD1A69" w:rsidRDefault="00BD1A69" w:rsidP="00BD1A69">
      <w:pPr>
        <w:rPr>
          <w:lang w:val="en-US"/>
        </w:rPr>
      </w:pPr>
      <w:r>
        <w:rPr>
          <w:lang w:val="en-US"/>
        </w:rPr>
        <w:t xml:space="preserve">Finally, for the issue on considering UE speeds for the final solution, we agree that UEs operating in higher velocity, need to update their GNSS position more frequently to avoid compromise the timing requirements. Even though in the past some companies have raised that static UEs do not need to update their position, they are still expected to do so. </w:t>
      </w:r>
    </w:p>
    <w:p w14:paraId="4BD75F90" w14:textId="3C65F9C4" w:rsidR="00BD1A69" w:rsidRDefault="00BD1A69" w:rsidP="00BD1A69">
      <w:pPr>
        <w:pStyle w:val="RAN4observation0"/>
        <w:rPr>
          <w:lang w:val="en-US"/>
        </w:rPr>
      </w:pPr>
      <w:bookmarkStart w:id="22" w:name="_Toc181976534"/>
      <w:r>
        <w:rPr>
          <w:lang w:val="en-US"/>
        </w:rPr>
        <w:t xml:space="preserve">Static UEs do not know they are static and are required to update their positions </w:t>
      </w:r>
      <w:r w:rsidR="00853899">
        <w:rPr>
          <w:lang w:val="en-US"/>
        </w:rPr>
        <w:t>to</w:t>
      </w:r>
      <w:r>
        <w:rPr>
          <w:lang w:val="en-US"/>
        </w:rPr>
        <w:t xml:space="preserve"> establish whether they have moved or not and update timing and frequency requirements accordingly.</w:t>
      </w:r>
      <w:bookmarkEnd w:id="22"/>
      <w:r>
        <w:rPr>
          <w:lang w:val="en-US"/>
        </w:rPr>
        <w:t xml:space="preserve"> </w:t>
      </w:r>
    </w:p>
    <w:p w14:paraId="3C318E49" w14:textId="4BAA782B" w:rsidR="00BD1A69" w:rsidRDefault="00BD1A69" w:rsidP="00BD1A69">
      <w:pPr>
        <w:rPr>
          <w:lang w:val="en-US"/>
        </w:rPr>
      </w:pPr>
      <w:r>
        <w:rPr>
          <w:lang w:val="en-US"/>
        </w:rPr>
        <w:t>In this sense, the problem affects static and mobile UEs alike, with the consideration that a UE in high speed might need some more frequent GNSS updates. As a compromise, we might inform to RAN1/2 that their derived solutions might be applicable for</w:t>
      </w:r>
      <w:r w:rsidR="000F6721">
        <w:rPr>
          <w:lang w:val="en-US"/>
        </w:rPr>
        <w:t xml:space="preserve"> both</w:t>
      </w:r>
      <w:r>
        <w:rPr>
          <w:lang w:val="en-US"/>
        </w:rPr>
        <w:t xml:space="preserve"> static and mobile UEs alike. </w:t>
      </w:r>
    </w:p>
    <w:p w14:paraId="550CA48F" w14:textId="4AB06813" w:rsidR="00305180" w:rsidRDefault="00305180" w:rsidP="00D06088">
      <w:pPr>
        <w:pStyle w:val="RAN4proposal"/>
      </w:pPr>
      <w:bookmarkStart w:id="23" w:name="_Toc181976535"/>
      <w:r>
        <w:t xml:space="preserve">UE speed should not be a </w:t>
      </w:r>
      <w:r w:rsidR="008963A2">
        <w:t xml:space="preserve">factor impacting the </w:t>
      </w:r>
      <w:r w:rsidR="00983430">
        <w:t>IDC</w:t>
      </w:r>
      <w:r w:rsidR="00D06088">
        <w:t xml:space="preserve"> solution.</w:t>
      </w:r>
      <w:bookmarkEnd w:id="23"/>
    </w:p>
    <w:p w14:paraId="07E3E2F7" w14:textId="148AD03F" w:rsidR="002142C9" w:rsidRPr="002142C9" w:rsidRDefault="002142C9" w:rsidP="00622A61">
      <w:pPr>
        <w:pStyle w:val="RAN4proposal"/>
      </w:pPr>
      <w:bookmarkStart w:id="24" w:name="_Toc181976536"/>
      <w:r>
        <w:lastRenderedPageBreak/>
        <w:t xml:space="preserve">Agreed IDC solution </w:t>
      </w:r>
      <w:r w:rsidR="00830ED9">
        <w:t xml:space="preserve">should be applicable </w:t>
      </w:r>
      <w:r w:rsidR="00622A61">
        <w:t>to both static and mobile UEs equally.</w:t>
      </w:r>
      <w:bookmarkEnd w:id="24"/>
    </w:p>
    <w:p w14:paraId="01C768B4" w14:textId="3F68405A" w:rsidR="00893D2E" w:rsidRPr="00A351DB" w:rsidRDefault="00654A7F" w:rsidP="00A351DB">
      <w:pPr>
        <w:pStyle w:val="RAN4proposal"/>
        <w:rPr>
          <w:lang w:val="en-US"/>
        </w:rPr>
      </w:pPr>
      <w:bookmarkStart w:id="25" w:name="_Toc181976537"/>
      <w:bookmarkStart w:id="26" w:name="_Toc116995848"/>
      <w:r>
        <w:rPr>
          <w:lang w:val="en-US"/>
        </w:rPr>
        <w:t>Agree to the attached LS provided in the Annex.</w:t>
      </w:r>
      <w:bookmarkEnd w:id="25"/>
    </w:p>
    <w:p w14:paraId="5A087670" w14:textId="77777777" w:rsidR="00CD7492" w:rsidRPr="008F786B" w:rsidRDefault="00CD7492" w:rsidP="00A37002">
      <w:pPr>
        <w:pStyle w:val="RAN4H1"/>
      </w:pPr>
      <w:r>
        <w:t>Conclusion</w:t>
      </w:r>
      <w:bookmarkEnd w:id="26"/>
    </w:p>
    <w:p w14:paraId="05218129" w14:textId="77777777" w:rsidR="001B5F39" w:rsidRPr="008F786B" w:rsidRDefault="001B5F39" w:rsidP="001B5F39">
      <w:r>
        <w:t>The following Observations and Proposals were made:</w:t>
      </w:r>
    </w:p>
    <w:p w14:paraId="7A97DA06" w14:textId="225037C8" w:rsidR="00A4355E" w:rsidRDefault="00A4355E" w:rsidP="176BD3AC">
      <w:pPr>
        <w:pStyle w:val="TOC4"/>
        <w:tabs>
          <w:tab w:val="right" w:leader="dot" w:pos="9617"/>
        </w:tabs>
        <w:rPr>
          <w:rFonts w:asciiTheme="minorHAnsi" w:eastAsiaTheme="minorEastAsia" w:hAnsiTheme="minorHAnsi"/>
          <w:noProof/>
          <w:sz w:val="24"/>
          <w:szCs w:val="24"/>
          <w:lang w:val="en-US"/>
        </w:rPr>
      </w:pPr>
      <w:r w:rsidRPr="008F786B">
        <w:rPr>
          <w:i/>
          <w:iCs/>
          <w:u w:val="single"/>
        </w:rPr>
        <w:fldChar w:fldCharType="begin"/>
      </w:r>
      <w:r w:rsidRPr="176BD3AC">
        <w:rPr>
          <w:i/>
          <w:iCs/>
          <w:u w:val="single"/>
        </w:rPr>
        <w:instrText xml:space="preserve"> TOC \n \h \z \t "RAN4 proposal,5,RAN4 observation,4" </w:instrText>
      </w:r>
      <w:r w:rsidRPr="008F786B">
        <w:rPr>
          <w:i/>
          <w:iCs/>
          <w:u w:val="single"/>
        </w:rPr>
        <w:fldChar w:fldCharType="separate"/>
      </w:r>
      <w:hyperlink w:anchor="_Toc181976525">
        <w:r w:rsidR="00934BD5" w:rsidRPr="176BD3AC">
          <w:rPr>
            <w:rStyle w:val="Hyperlink"/>
            <w:b/>
            <w:bCs/>
            <w:noProof/>
          </w:rPr>
          <w:t>Observation 1:</w:t>
        </w:r>
        <w:r w:rsidR="00934BD5" w:rsidRPr="176BD3AC">
          <w:rPr>
            <w:rStyle w:val="Hyperlink"/>
            <w:noProof/>
            <w:lang w:val="en-US"/>
          </w:rPr>
          <w:t xml:space="preserve"> Reasoning for 0.5 dB improvement goes back to almost 10 years old survey on insertion loss differences.</w:t>
        </w:r>
      </w:hyperlink>
    </w:p>
    <w:p w14:paraId="7597569E" w14:textId="0A7175D3" w:rsidR="00934BD5" w:rsidRDefault="00933152" w:rsidP="176BD3AC">
      <w:pPr>
        <w:pStyle w:val="TOC4"/>
        <w:tabs>
          <w:tab w:val="right" w:leader="dot" w:pos="9617"/>
        </w:tabs>
        <w:rPr>
          <w:rFonts w:asciiTheme="minorHAnsi" w:eastAsiaTheme="minorEastAsia" w:hAnsiTheme="minorHAnsi"/>
          <w:noProof/>
          <w:sz w:val="24"/>
          <w:szCs w:val="24"/>
          <w:lang w:val="en-US"/>
        </w:rPr>
      </w:pPr>
      <w:hyperlink w:anchor="_Toc181976526">
        <w:r w:rsidR="00934BD5" w:rsidRPr="176BD3AC">
          <w:rPr>
            <w:rStyle w:val="Hyperlink"/>
            <w:b/>
            <w:bCs/>
            <w:noProof/>
          </w:rPr>
          <w:t>Observation 2:</w:t>
        </w:r>
        <w:r w:rsidR="00934BD5" w:rsidRPr="176BD3AC">
          <w:rPr>
            <w:rStyle w:val="Hyperlink"/>
            <w:noProof/>
            <w:lang w:val="en-US"/>
          </w:rPr>
          <w:t xml:space="preserve"> Reasoning for 0 dB tightening was related to REFSESN of TDD bands.</w:t>
        </w:r>
      </w:hyperlink>
    </w:p>
    <w:p w14:paraId="6F8BE74C" w14:textId="4D608698" w:rsidR="00934BD5" w:rsidRDefault="00933152" w:rsidP="176BD3AC">
      <w:pPr>
        <w:pStyle w:val="TOC4"/>
        <w:tabs>
          <w:tab w:val="right" w:leader="dot" w:pos="9617"/>
        </w:tabs>
        <w:rPr>
          <w:rFonts w:asciiTheme="minorHAnsi" w:eastAsiaTheme="minorEastAsia" w:hAnsiTheme="minorHAnsi"/>
          <w:noProof/>
          <w:sz w:val="24"/>
          <w:szCs w:val="24"/>
          <w:lang w:val="en-US"/>
        </w:rPr>
      </w:pPr>
      <w:hyperlink w:anchor="_Toc181976527">
        <w:r w:rsidR="00934BD5" w:rsidRPr="176BD3AC">
          <w:rPr>
            <w:rStyle w:val="Hyperlink"/>
            <w:b/>
            <w:bCs/>
            <w:noProof/>
            <w:lang w:val="en-US"/>
          </w:rPr>
          <w:t>Observation 3:</w:t>
        </w:r>
        <w:r w:rsidR="00934BD5" w:rsidRPr="176BD3AC">
          <w:rPr>
            <w:rStyle w:val="Hyperlink"/>
            <w:noProof/>
            <w:lang w:val="en-US"/>
          </w:rPr>
          <w:t xml:space="preserve"> Recent survey on RF components showed that insertion loss difference ranges from 1.2dB to 2dB.</w:t>
        </w:r>
      </w:hyperlink>
    </w:p>
    <w:p w14:paraId="3F88F976" w14:textId="3FB77773" w:rsidR="00934BD5" w:rsidRDefault="00933152" w:rsidP="176BD3AC">
      <w:pPr>
        <w:pStyle w:val="TOC4"/>
        <w:tabs>
          <w:tab w:val="right" w:leader="dot" w:pos="9617"/>
        </w:tabs>
        <w:rPr>
          <w:rFonts w:asciiTheme="minorHAnsi" w:eastAsiaTheme="minorEastAsia" w:hAnsiTheme="minorHAnsi"/>
          <w:noProof/>
          <w:sz w:val="24"/>
          <w:szCs w:val="24"/>
          <w:lang w:val="en-US"/>
        </w:rPr>
      </w:pPr>
      <w:hyperlink w:anchor="_Toc181976528">
        <w:r w:rsidR="00934BD5" w:rsidRPr="176BD3AC">
          <w:rPr>
            <w:rStyle w:val="Hyperlink"/>
            <w:b/>
            <w:bCs/>
            <w:noProof/>
            <w:lang w:val="en-US"/>
          </w:rPr>
          <w:t>Observation 4:</w:t>
        </w:r>
        <w:r w:rsidR="00934BD5" w:rsidRPr="176BD3AC">
          <w:rPr>
            <w:rStyle w:val="Hyperlink"/>
            <w:noProof/>
          </w:rPr>
          <w:t xml:space="preserve"> There are no TDD bands in NTN, so sticking to 0dB tightening is unjustified.</w:t>
        </w:r>
      </w:hyperlink>
    </w:p>
    <w:p w14:paraId="470D4D2F" w14:textId="2BFE32C4" w:rsidR="00934BD5" w:rsidRDefault="00933152" w:rsidP="176BD3AC">
      <w:pPr>
        <w:pStyle w:val="TOC5"/>
        <w:tabs>
          <w:tab w:val="right" w:leader="dot" w:pos="9617"/>
        </w:tabs>
        <w:rPr>
          <w:rFonts w:asciiTheme="minorHAnsi" w:eastAsiaTheme="minorEastAsia" w:hAnsiTheme="minorHAnsi"/>
          <w:b w:val="0"/>
          <w:noProof/>
          <w:sz w:val="24"/>
          <w:szCs w:val="24"/>
          <w:lang w:val="en-US"/>
        </w:rPr>
      </w:pPr>
      <w:hyperlink w:anchor="_Toc181976529">
        <w:r w:rsidR="00934BD5" w:rsidRPr="176BD3AC">
          <w:rPr>
            <w:rStyle w:val="Hyperlink"/>
            <w:noProof/>
            <w:lang w:val="en-US"/>
          </w:rPr>
          <w:t>Proposal 1: Utilize 0.8dB of tightening for both n255 and n254.</w:t>
        </w:r>
      </w:hyperlink>
    </w:p>
    <w:p w14:paraId="4F19D72E" w14:textId="3F498677" w:rsidR="00934BD5" w:rsidRDefault="00933152" w:rsidP="176BD3AC">
      <w:pPr>
        <w:pStyle w:val="TOC4"/>
        <w:tabs>
          <w:tab w:val="right" w:leader="dot" w:pos="9617"/>
        </w:tabs>
        <w:rPr>
          <w:rFonts w:asciiTheme="minorHAnsi" w:eastAsiaTheme="minorEastAsia" w:hAnsiTheme="minorHAnsi"/>
          <w:noProof/>
          <w:sz w:val="24"/>
          <w:szCs w:val="24"/>
          <w:lang w:val="en-US"/>
        </w:rPr>
      </w:pPr>
      <w:hyperlink w:anchor="_Toc181976530">
        <w:r w:rsidR="00934BD5" w:rsidRPr="176BD3AC">
          <w:rPr>
            <w:rStyle w:val="Hyperlink"/>
            <w:b/>
            <w:bCs/>
            <w:noProof/>
            <w:lang w:val="en-US"/>
          </w:rPr>
          <w:t>Observation 5:</w:t>
        </w:r>
        <w:r w:rsidR="00934BD5" w:rsidRPr="176BD3AC">
          <w:rPr>
            <w:rStyle w:val="Hyperlink"/>
            <w:noProof/>
            <w:lang w:val="en-US"/>
          </w:rPr>
          <w:t xml:space="preserve"> Not all UEs will be harmed by the potential interference between UL and GNSS frequencies.</w:t>
        </w:r>
      </w:hyperlink>
    </w:p>
    <w:p w14:paraId="2C35D02F" w14:textId="746D1D81" w:rsidR="00934BD5" w:rsidRDefault="00933152" w:rsidP="176BD3AC">
      <w:pPr>
        <w:pStyle w:val="TOC4"/>
        <w:tabs>
          <w:tab w:val="right" w:leader="dot" w:pos="9617"/>
        </w:tabs>
        <w:rPr>
          <w:rFonts w:asciiTheme="minorHAnsi" w:eastAsiaTheme="minorEastAsia" w:hAnsiTheme="minorHAnsi"/>
          <w:noProof/>
          <w:sz w:val="24"/>
          <w:szCs w:val="24"/>
          <w:lang w:val="en-US"/>
        </w:rPr>
      </w:pPr>
      <w:hyperlink w:anchor="_Toc181976531">
        <w:r w:rsidR="00934BD5" w:rsidRPr="176BD3AC">
          <w:rPr>
            <w:rStyle w:val="Hyperlink"/>
            <w:b/>
            <w:bCs/>
            <w:noProof/>
            <w:lang w:val="en-US"/>
          </w:rPr>
          <w:t>Observation 6:</w:t>
        </w:r>
        <w:r w:rsidR="00934BD5" w:rsidRPr="176BD3AC">
          <w:rPr>
            <w:rStyle w:val="Hyperlink"/>
            <w:noProof/>
            <w:lang w:val="en-US"/>
          </w:rPr>
          <w:t xml:space="preserve"> The issue is related to NR NTN UL transmission and not DL reception on the UE side and might be dependent on the duration of the UL transmission.</w:t>
        </w:r>
      </w:hyperlink>
    </w:p>
    <w:p w14:paraId="3CBCBBB6" w14:textId="5AC3BA68" w:rsidR="00934BD5" w:rsidRDefault="00933152" w:rsidP="176BD3AC">
      <w:pPr>
        <w:pStyle w:val="TOC4"/>
        <w:tabs>
          <w:tab w:val="right" w:leader="dot" w:pos="9617"/>
        </w:tabs>
        <w:rPr>
          <w:rFonts w:asciiTheme="minorHAnsi" w:eastAsiaTheme="minorEastAsia" w:hAnsiTheme="minorHAnsi"/>
          <w:noProof/>
          <w:sz w:val="24"/>
          <w:szCs w:val="24"/>
          <w:lang w:val="en-US"/>
        </w:rPr>
      </w:pPr>
      <w:hyperlink w:anchor="_Toc181976532">
        <w:r w:rsidR="00934BD5" w:rsidRPr="176BD3AC">
          <w:rPr>
            <w:rStyle w:val="Hyperlink"/>
            <w:b/>
            <w:bCs/>
            <w:noProof/>
            <w:lang w:val="en-US"/>
          </w:rPr>
          <w:t>Observation 7:</w:t>
        </w:r>
        <w:r w:rsidR="00934BD5" w:rsidRPr="176BD3AC">
          <w:rPr>
            <w:rStyle w:val="Hyperlink"/>
            <w:noProof/>
            <w:lang w:val="en-US"/>
          </w:rPr>
          <w:t xml:space="preserve"> IDC solutions are favored over GNSS measurement gaps to address this issue.</w:t>
        </w:r>
      </w:hyperlink>
    </w:p>
    <w:p w14:paraId="7796D7E3" w14:textId="36BB64E4" w:rsidR="00934BD5" w:rsidRDefault="00933152" w:rsidP="176BD3AC">
      <w:pPr>
        <w:pStyle w:val="TOC5"/>
        <w:tabs>
          <w:tab w:val="right" w:leader="dot" w:pos="9617"/>
        </w:tabs>
        <w:rPr>
          <w:rFonts w:asciiTheme="minorHAnsi" w:eastAsiaTheme="minorEastAsia" w:hAnsiTheme="minorHAnsi"/>
          <w:b w:val="0"/>
          <w:noProof/>
          <w:sz w:val="24"/>
          <w:szCs w:val="24"/>
          <w:lang w:val="en-US"/>
        </w:rPr>
      </w:pPr>
      <w:hyperlink w:anchor="_Toc181976533">
        <w:r w:rsidR="00934BD5" w:rsidRPr="176BD3AC">
          <w:rPr>
            <w:rStyle w:val="Hyperlink"/>
            <w:noProof/>
            <w:lang w:val="en-US"/>
          </w:rPr>
          <w:t>Proposal 2: Agree to have a common harmonized solution applicable to both RedCap and non-RedCap NR NTN UEs.</w:t>
        </w:r>
      </w:hyperlink>
    </w:p>
    <w:p w14:paraId="48722B28" w14:textId="63F387DA" w:rsidR="00934BD5" w:rsidRDefault="00933152" w:rsidP="176BD3AC">
      <w:pPr>
        <w:pStyle w:val="TOC4"/>
        <w:tabs>
          <w:tab w:val="right" w:leader="dot" w:pos="9617"/>
        </w:tabs>
        <w:rPr>
          <w:rFonts w:asciiTheme="minorHAnsi" w:eastAsiaTheme="minorEastAsia" w:hAnsiTheme="minorHAnsi"/>
          <w:noProof/>
          <w:sz w:val="24"/>
          <w:szCs w:val="24"/>
          <w:lang w:val="en-US"/>
        </w:rPr>
      </w:pPr>
      <w:hyperlink w:anchor="_Toc181976534">
        <w:r w:rsidR="00934BD5" w:rsidRPr="176BD3AC">
          <w:rPr>
            <w:rStyle w:val="Hyperlink"/>
            <w:b/>
            <w:bCs/>
            <w:noProof/>
            <w:lang w:val="en-US"/>
          </w:rPr>
          <w:t>Observation 8:</w:t>
        </w:r>
        <w:r w:rsidR="00934BD5" w:rsidRPr="176BD3AC">
          <w:rPr>
            <w:rStyle w:val="Hyperlink"/>
            <w:noProof/>
            <w:lang w:val="en-US"/>
          </w:rPr>
          <w:t xml:space="preserve"> Static UEs do not know they are static and are required to update their positions to establish whether they have moved or not and update timing and frequency requirements accordingly.</w:t>
        </w:r>
      </w:hyperlink>
    </w:p>
    <w:p w14:paraId="30F58C64" w14:textId="3C6041FB" w:rsidR="00934BD5" w:rsidRDefault="00933152" w:rsidP="176BD3AC">
      <w:pPr>
        <w:pStyle w:val="TOC5"/>
        <w:tabs>
          <w:tab w:val="right" w:leader="dot" w:pos="9617"/>
        </w:tabs>
        <w:rPr>
          <w:rFonts w:asciiTheme="minorHAnsi" w:eastAsiaTheme="minorEastAsia" w:hAnsiTheme="minorHAnsi"/>
          <w:b w:val="0"/>
          <w:noProof/>
          <w:sz w:val="24"/>
          <w:szCs w:val="24"/>
          <w:lang w:val="en-US"/>
        </w:rPr>
      </w:pPr>
      <w:hyperlink w:anchor="_Toc181976535">
        <w:r w:rsidR="00934BD5" w:rsidRPr="176BD3AC">
          <w:rPr>
            <w:rStyle w:val="Hyperlink"/>
            <w:noProof/>
          </w:rPr>
          <w:t>Proposal 3: UE speed should not be a factor impacting the IDC solution.</w:t>
        </w:r>
      </w:hyperlink>
    </w:p>
    <w:p w14:paraId="5BCFC54C" w14:textId="72158AE8" w:rsidR="00934BD5" w:rsidRDefault="00933152" w:rsidP="176BD3AC">
      <w:pPr>
        <w:pStyle w:val="TOC5"/>
        <w:tabs>
          <w:tab w:val="right" w:leader="dot" w:pos="9617"/>
        </w:tabs>
        <w:rPr>
          <w:rFonts w:asciiTheme="minorHAnsi" w:eastAsiaTheme="minorEastAsia" w:hAnsiTheme="minorHAnsi"/>
          <w:b w:val="0"/>
          <w:noProof/>
          <w:sz w:val="24"/>
          <w:szCs w:val="24"/>
          <w:lang w:val="en-US"/>
        </w:rPr>
      </w:pPr>
      <w:hyperlink w:anchor="_Toc181976536">
        <w:r w:rsidR="00934BD5" w:rsidRPr="176BD3AC">
          <w:rPr>
            <w:rStyle w:val="Hyperlink"/>
            <w:noProof/>
          </w:rPr>
          <w:t>Proposal 4: Agreed IDC solution should be applicable to both static and mobile UEs equally.</w:t>
        </w:r>
      </w:hyperlink>
    </w:p>
    <w:p w14:paraId="2E57FC02" w14:textId="01E15A49" w:rsidR="00934BD5" w:rsidRDefault="00933152" w:rsidP="176BD3AC">
      <w:pPr>
        <w:pStyle w:val="TOC5"/>
        <w:tabs>
          <w:tab w:val="right" w:leader="dot" w:pos="9617"/>
        </w:tabs>
        <w:rPr>
          <w:rFonts w:asciiTheme="minorHAnsi" w:eastAsiaTheme="minorEastAsia" w:hAnsiTheme="minorHAnsi"/>
          <w:b w:val="0"/>
          <w:noProof/>
          <w:sz w:val="24"/>
          <w:szCs w:val="24"/>
          <w:lang w:val="en-US"/>
        </w:rPr>
      </w:pPr>
      <w:hyperlink w:anchor="_Toc181976537">
        <w:r w:rsidR="00934BD5" w:rsidRPr="176BD3AC">
          <w:rPr>
            <w:rStyle w:val="Hyperlink"/>
            <w:noProof/>
            <w:lang w:val="en-US"/>
          </w:rPr>
          <w:t>Proposal 5: Agree to the attached LS provided in the Annex.</w:t>
        </w:r>
      </w:hyperlink>
    </w:p>
    <w:p w14:paraId="4CA6DD37" w14:textId="77777777" w:rsidR="00847264" w:rsidRPr="008F786B" w:rsidRDefault="00A4355E" w:rsidP="008C39F7">
      <w:r w:rsidRPr="008F786B">
        <w:fldChar w:fldCharType="end"/>
      </w:r>
      <w:bookmarkStart w:id="27" w:name="_Toc116995849"/>
    </w:p>
    <w:p w14:paraId="388165EA" w14:textId="77777777" w:rsidR="003B659E" w:rsidRPr="008F786B" w:rsidRDefault="003B659E" w:rsidP="0060543D">
      <w:pPr>
        <w:pStyle w:val="RAN4H1"/>
        <w:numPr>
          <w:ilvl w:val="0"/>
          <w:numId w:val="0"/>
        </w:numPr>
        <w:ind w:left="360" w:hanging="360"/>
      </w:pPr>
      <w:r w:rsidRPr="008F786B">
        <w:t>References</w:t>
      </w:r>
      <w:bookmarkEnd w:id="27"/>
    </w:p>
    <w:p w14:paraId="26E2B199" w14:textId="0D9BD372" w:rsidR="003F7D0B" w:rsidRDefault="002E5E27" w:rsidP="003F7D0B">
      <w:pPr>
        <w:pStyle w:val="ListParagraph"/>
        <w:numPr>
          <w:ilvl w:val="0"/>
          <w:numId w:val="21"/>
        </w:numPr>
        <w:ind w:right="-22"/>
      </w:pPr>
      <w:bookmarkStart w:id="28" w:name="_Ref181694816"/>
      <w:r>
        <w:t xml:space="preserve">R4-2416586, </w:t>
      </w:r>
      <w:r w:rsidRPr="002E5E27">
        <w:t>Way Forward for [112][310] NR_NTN_Ph3_UE_RF</w:t>
      </w:r>
      <w:r>
        <w:t xml:space="preserve">, Qualcomm Inc., </w:t>
      </w:r>
      <w:r w:rsidRPr="002E5E27">
        <w:t>RAN4#1</w:t>
      </w:r>
      <w:r>
        <w:t>12</w:t>
      </w:r>
      <w:r w:rsidRPr="002E5E27">
        <w:t xml:space="preserve">bis, </w:t>
      </w:r>
      <w:r>
        <w:t>Hefei</w:t>
      </w:r>
      <w:r w:rsidRPr="002E5E27">
        <w:t xml:space="preserve">, China, October </w:t>
      </w:r>
      <w:r>
        <w:t>14</w:t>
      </w:r>
      <w:r w:rsidRPr="002E5E27">
        <w:t xml:space="preserve"> – October 1</w:t>
      </w:r>
      <w:r>
        <w:t>8</w:t>
      </w:r>
      <w:r w:rsidRPr="002E5E27">
        <w:t>, 202</w:t>
      </w:r>
      <w:r>
        <w:t>4</w:t>
      </w:r>
      <w:r w:rsidRPr="002E5E27">
        <w:t>.</w:t>
      </w:r>
      <w:bookmarkEnd w:id="28"/>
      <w:r w:rsidR="00E43BF9" w:rsidRPr="002E5E27">
        <w:rPr>
          <w:highlight w:val="yellow"/>
        </w:rPr>
        <w:t xml:space="preserve"> </w:t>
      </w:r>
    </w:p>
    <w:p w14:paraId="433DDE85" w14:textId="4D0125F8" w:rsidR="00BD1A69" w:rsidRDefault="00BD1A69" w:rsidP="00BD1A69">
      <w:pPr>
        <w:pStyle w:val="ListParagraph"/>
        <w:numPr>
          <w:ilvl w:val="0"/>
          <w:numId w:val="21"/>
        </w:numPr>
        <w:ind w:right="-22"/>
      </w:pPr>
      <w:bookmarkStart w:id="29" w:name="_Ref181868073"/>
      <w:r>
        <w:t xml:space="preserve">R4-2416462, “UE RF requirements for NR NTN </w:t>
      </w:r>
      <w:proofErr w:type="spellStart"/>
      <w:r>
        <w:t>RedCap</w:t>
      </w:r>
      <w:proofErr w:type="spellEnd"/>
      <w:r>
        <w:t xml:space="preserve">”, </w:t>
      </w:r>
      <w:r w:rsidRPr="176BD3AC">
        <w:rPr>
          <w:lang w:val="en-US"/>
        </w:rPr>
        <w:t xml:space="preserve">Qualcomm Inc., </w:t>
      </w:r>
      <w:r>
        <w:t>., RAN4#112bis, Hefei, China, October 14 – October 18, 2024.</w:t>
      </w:r>
      <w:bookmarkEnd w:id="29"/>
      <w:r w:rsidRPr="176BD3AC">
        <w:rPr>
          <w:highlight w:val="yellow"/>
        </w:rPr>
        <w:t xml:space="preserve"> </w:t>
      </w:r>
    </w:p>
    <w:p w14:paraId="0D4761E3" w14:textId="77777777" w:rsidR="006D6668" w:rsidRDefault="006D6668" w:rsidP="006D6668">
      <w:r>
        <w:br w:type="page"/>
      </w:r>
    </w:p>
    <w:p w14:paraId="43560EFD" w14:textId="676130DE" w:rsidR="006D6668" w:rsidRPr="008F786B" w:rsidRDefault="006D6668" w:rsidP="006D6668">
      <w:pPr>
        <w:pStyle w:val="RAN4H1"/>
        <w:numPr>
          <w:ilvl w:val="0"/>
          <w:numId w:val="0"/>
        </w:numPr>
        <w:ind w:left="360" w:hanging="360"/>
      </w:pPr>
      <w:r>
        <w:lastRenderedPageBreak/>
        <w:t>Annex</w:t>
      </w:r>
    </w:p>
    <w:p w14:paraId="7486AE9E" w14:textId="77777777" w:rsidR="006D6668" w:rsidRDefault="006D6668" w:rsidP="006D6668">
      <w:pPr>
        <w:spacing w:after="60"/>
        <w:ind w:left="1985" w:hanging="1985"/>
        <w:rPr>
          <w:rFonts w:ascii="Arial" w:hAnsi="Arial" w:cs="Arial"/>
          <w:b/>
        </w:rPr>
      </w:pPr>
    </w:p>
    <w:p w14:paraId="6DE5E0D3" w14:textId="77777777" w:rsidR="006D6668" w:rsidRDefault="006D6668" w:rsidP="006D6668">
      <w:pPr>
        <w:spacing w:after="60"/>
        <w:ind w:left="1985" w:hanging="1985"/>
        <w:rPr>
          <w:rFonts w:ascii="Arial" w:hAnsi="Arial" w:cs="Arial"/>
          <w:b/>
        </w:rPr>
      </w:pPr>
    </w:p>
    <w:p w14:paraId="26EF018E" w14:textId="77777777" w:rsidR="006D6668" w:rsidRDefault="006D6668" w:rsidP="006D6668">
      <w:pPr>
        <w:spacing w:after="60"/>
        <w:ind w:left="1985" w:hanging="1985"/>
        <w:rPr>
          <w:rFonts w:ascii="Arial" w:hAnsi="Arial" w:cs="Arial"/>
          <w:b/>
        </w:rPr>
      </w:pPr>
      <w:r>
        <w:rPr>
          <w:rFonts w:ascii="Arial" w:hAnsi="Arial" w:cs="Arial"/>
          <w:b/>
        </w:rPr>
        <w:t>Title:</w:t>
      </w:r>
      <w:r>
        <w:rPr>
          <w:rFonts w:ascii="Arial" w:hAnsi="Arial" w:cs="Arial"/>
          <w:b/>
        </w:rPr>
        <w:tab/>
        <w:t>draft LS on NR NTN co-existence with GNSS</w:t>
      </w:r>
    </w:p>
    <w:p w14:paraId="3A1B64A6" w14:textId="77777777" w:rsidR="006D6668" w:rsidRDefault="006D6668" w:rsidP="006D6668">
      <w:pPr>
        <w:spacing w:after="60"/>
        <w:ind w:left="1985" w:hanging="1985"/>
        <w:rPr>
          <w:rFonts w:ascii="Arial" w:hAnsi="Arial" w:cs="Arial"/>
          <w:b/>
          <w:bCs/>
        </w:rPr>
      </w:pPr>
      <w:bookmarkStart w:id="30" w:name="OLE_LINK58"/>
      <w:bookmarkStart w:id="31" w:name="OLE_LINK57"/>
      <w:r w:rsidRPr="00427B04">
        <w:rPr>
          <w:rFonts w:ascii="Arial" w:hAnsi="Arial" w:cs="Arial"/>
          <w:b/>
          <w:bCs/>
        </w:rPr>
        <w:t>Response to:</w:t>
      </w:r>
      <w:r>
        <w:rPr>
          <w:rFonts w:ascii="Arial" w:hAnsi="Arial" w:cs="Arial"/>
          <w:b/>
          <w:bCs/>
        </w:rPr>
        <w:tab/>
      </w:r>
    </w:p>
    <w:p w14:paraId="47F119C2" w14:textId="77777777" w:rsidR="006D6668" w:rsidRDefault="006D6668" w:rsidP="006D6668">
      <w:pPr>
        <w:spacing w:after="60"/>
        <w:ind w:left="1985" w:hanging="1985"/>
        <w:rPr>
          <w:rFonts w:ascii="Arial" w:hAnsi="Arial" w:cs="Arial"/>
          <w:b/>
          <w:bCs/>
        </w:rPr>
      </w:pPr>
      <w:bookmarkStart w:id="32" w:name="OLE_LINK59"/>
      <w:bookmarkStart w:id="33" w:name="OLE_LINK60"/>
      <w:bookmarkStart w:id="34" w:name="OLE_LINK61"/>
      <w:bookmarkEnd w:id="30"/>
      <w:bookmarkEnd w:id="31"/>
      <w:r>
        <w:rPr>
          <w:rFonts w:ascii="Arial" w:hAnsi="Arial" w:cs="Arial"/>
          <w:b/>
        </w:rPr>
        <w:t>Release:</w:t>
      </w:r>
      <w:r>
        <w:rPr>
          <w:rFonts w:ascii="Arial" w:hAnsi="Arial" w:cs="Arial"/>
          <w:b/>
          <w:bCs/>
        </w:rPr>
        <w:tab/>
        <w:t>Rel-19</w:t>
      </w:r>
    </w:p>
    <w:bookmarkEnd w:id="32"/>
    <w:bookmarkEnd w:id="33"/>
    <w:bookmarkEnd w:id="34"/>
    <w:p w14:paraId="0775FF12" w14:textId="77777777" w:rsidR="006D6668" w:rsidRDefault="006D6668" w:rsidP="006D6668">
      <w:pPr>
        <w:spacing w:after="60"/>
        <w:ind w:left="1985" w:hanging="1985"/>
        <w:rPr>
          <w:rFonts w:ascii="Arial" w:hAnsi="Arial" w:cs="Arial"/>
          <w:b/>
          <w:bCs/>
        </w:rPr>
      </w:pPr>
      <w:r>
        <w:rPr>
          <w:rFonts w:ascii="Arial" w:hAnsi="Arial" w:cs="Arial"/>
          <w:b/>
        </w:rPr>
        <w:t>Work Item:</w:t>
      </w:r>
      <w:r>
        <w:rPr>
          <w:rFonts w:ascii="Arial" w:hAnsi="Arial" w:cs="Arial"/>
          <w:b/>
          <w:bCs/>
        </w:rPr>
        <w:tab/>
      </w:r>
      <w:r w:rsidRPr="00E31A42">
        <w:rPr>
          <w:rFonts w:ascii="Arial" w:hAnsi="Arial" w:cs="Arial"/>
          <w:b/>
          <w:bCs/>
        </w:rPr>
        <w:t>NR_NTN_Ph3-Core</w:t>
      </w:r>
    </w:p>
    <w:p w14:paraId="54C715FA" w14:textId="77777777" w:rsidR="006D6668" w:rsidRDefault="006D6668" w:rsidP="006D6668">
      <w:pPr>
        <w:spacing w:after="60"/>
        <w:ind w:left="1985" w:hanging="1985"/>
        <w:rPr>
          <w:rFonts w:ascii="Arial" w:hAnsi="Arial" w:cs="Arial"/>
          <w:b/>
        </w:rPr>
      </w:pPr>
    </w:p>
    <w:p w14:paraId="74A2F9C0" w14:textId="77777777" w:rsidR="006D6668" w:rsidRDefault="006D6668" w:rsidP="006D6668">
      <w:pPr>
        <w:spacing w:after="60"/>
        <w:ind w:left="1985" w:hanging="1985"/>
        <w:rPr>
          <w:rFonts w:ascii="Arial" w:hAnsi="Arial" w:cs="Arial"/>
          <w:b/>
        </w:rPr>
      </w:pPr>
      <w:r>
        <w:rPr>
          <w:rFonts w:ascii="Arial" w:hAnsi="Arial" w:cs="Arial"/>
          <w:b/>
        </w:rPr>
        <w:t>Source:</w:t>
      </w:r>
      <w:r>
        <w:rPr>
          <w:rFonts w:ascii="Arial" w:hAnsi="Arial" w:cs="Arial"/>
          <w:b/>
        </w:rPr>
        <w:tab/>
        <w:t>RAN WG4</w:t>
      </w:r>
    </w:p>
    <w:p w14:paraId="2B54241A" w14:textId="77777777" w:rsidR="006D6668" w:rsidRDefault="006D6668" w:rsidP="006D6668">
      <w:pPr>
        <w:spacing w:after="60"/>
        <w:ind w:left="1985" w:hanging="1985"/>
        <w:rPr>
          <w:rFonts w:ascii="Arial" w:hAnsi="Arial" w:cs="Arial"/>
          <w:b/>
          <w:bCs/>
        </w:rPr>
      </w:pPr>
      <w:r>
        <w:rPr>
          <w:rFonts w:ascii="Arial" w:hAnsi="Arial" w:cs="Arial"/>
          <w:b/>
        </w:rPr>
        <w:t>To:</w:t>
      </w:r>
      <w:r>
        <w:rPr>
          <w:rFonts w:ascii="Arial" w:hAnsi="Arial" w:cs="Arial"/>
          <w:b/>
          <w:bCs/>
        </w:rPr>
        <w:tab/>
        <w:t>RAN WG1, RAN WG2</w:t>
      </w:r>
    </w:p>
    <w:p w14:paraId="55F9BBE8" w14:textId="77777777" w:rsidR="006D6668" w:rsidRDefault="006D6668" w:rsidP="006D6668">
      <w:pPr>
        <w:spacing w:after="60"/>
        <w:ind w:left="1985" w:hanging="1985"/>
        <w:rPr>
          <w:rFonts w:ascii="Arial" w:hAnsi="Arial" w:cs="Arial"/>
          <w:b/>
          <w:bCs/>
        </w:rPr>
      </w:pPr>
      <w:bookmarkStart w:id="35" w:name="OLE_LINK45"/>
      <w:bookmarkStart w:id="36" w:name="OLE_LINK46"/>
      <w:r>
        <w:rPr>
          <w:rFonts w:ascii="Arial" w:hAnsi="Arial" w:cs="Arial"/>
          <w:b/>
        </w:rPr>
        <w:t>Cc:</w:t>
      </w:r>
      <w:r>
        <w:rPr>
          <w:rFonts w:ascii="Arial" w:hAnsi="Arial" w:cs="Arial"/>
          <w:b/>
          <w:bCs/>
        </w:rPr>
        <w:tab/>
        <w:t>-</w:t>
      </w:r>
    </w:p>
    <w:bookmarkEnd w:id="35"/>
    <w:bookmarkEnd w:id="36"/>
    <w:p w14:paraId="68AA918A" w14:textId="77777777" w:rsidR="006D6668" w:rsidRDefault="006D6668" w:rsidP="006D6668">
      <w:pPr>
        <w:spacing w:after="60"/>
        <w:ind w:left="1985" w:hanging="1985"/>
        <w:rPr>
          <w:rFonts w:ascii="Arial" w:hAnsi="Arial" w:cs="Arial"/>
          <w:bCs/>
        </w:rPr>
      </w:pPr>
    </w:p>
    <w:p w14:paraId="729E484D" w14:textId="79EFF658" w:rsidR="006D6668" w:rsidRDefault="006D6668" w:rsidP="006D6668">
      <w:pPr>
        <w:spacing w:after="60"/>
        <w:ind w:left="1985" w:hanging="1985"/>
        <w:rPr>
          <w:rFonts w:ascii="Arial" w:hAnsi="Arial" w:cs="Arial"/>
          <w:b/>
          <w:bCs/>
        </w:rPr>
      </w:pPr>
      <w:r w:rsidRPr="176BD3AC">
        <w:rPr>
          <w:rFonts w:ascii="Arial" w:hAnsi="Arial" w:cs="Arial"/>
          <w:b/>
          <w:bCs/>
        </w:rPr>
        <w:t>Contact person:</w:t>
      </w:r>
      <w:r>
        <w:tab/>
      </w:r>
    </w:p>
    <w:p w14:paraId="0D41F3E1" w14:textId="760CBA13" w:rsidR="00502D4A" w:rsidRPr="008C4ACD" w:rsidRDefault="00502D4A" w:rsidP="176BD3AC">
      <w:pPr>
        <w:spacing w:after="60"/>
        <w:ind w:left="2705" w:hanging="1985"/>
        <w:rPr>
          <w:rFonts w:cs="Times New Roman"/>
          <w:b/>
          <w:bCs/>
        </w:rPr>
      </w:pPr>
      <w:r w:rsidRPr="176BD3AC">
        <w:rPr>
          <w:rFonts w:cs="Times New Roman"/>
          <w:b/>
          <w:bCs/>
        </w:rPr>
        <w:t>Name:</w:t>
      </w:r>
      <w:r>
        <w:tab/>
      </w:r>
      <w:r w:rsidR="00CF3C31" w:rsidRPr="176BD3AC">
        <w:rPr>
          <w:rFonts w:cs="Times New Roman"/>
          <w:b/>
          <w:bCs/>
        </w:rPr>
        <w:t>Alok Sethi</w:t>
      </w:r>
    </w:p>
    <w:p w14:paraId="3635C266" w14:textId="1DDC32CF" w:rsidR="00502D4A" w:rsidRPr="008C4ACD" w:rsidRDefault="00502D4A" w:rsidP="176BD3AC">
      <w:pPr>
        <w:spacing w:after="60"/>
        <w:ind w:left="2705" w:hanging="1985"/>
        <w:rPr>
          <w:rFonts w:cs="Times New Roman"/>
          <w:b/>
          <w:bCs/>
        </w:rPr>
      </w:pPr>
      <w:r w:rsidRPr="176BD3AC">
        <w:rPr>
          <w:rFonts w:cs="Times New Roman"/>
          <w:b/>
          <w:bCs/>
        </w:rPr>
        <w:t>E-mail Address:</w:t>
      </w:r>
      <w:r>
        <w:tab/>
      </w:r>
      <w:r w:rsidR="00CF3C31" w:rsidRPr="176BD3AC">
        <w:rPr>
          <w:rFonts w:cs="Times New Roman"/>
          <w:b/>
          <w:bCs/>
        </w:rPr>
        <w:t>alok.sethi</w:t>
      </w:r>
      <w:r w:rsidRPr="176BD3AC">
        <w:rPr>
          <w:rFonts w:cs="Times New Roman"/>
          <w:b/>
          <w:bCs/>
        </w:rPr>
        <w:t>@nokia.com</w:t>
      </w:r>
    </w:p>
    <w:p w14:paraId="26E5B12C" w14:textId="77777777" w:rsidR="006D6668" w:rsidRDefault="006D6668" w:rsidP="176BD3AC">
      <w:pPr>
        <w:spacing w:after="60"/>
        <w:ind w:left="1985" w:hanging="1985"/>
        <w:rPr>
          <w:rFonts w:ascii="Arial" w:hAnsi="Arial" w:cs="Arial"/>
          <w:b/>
          <w:bCs/>
          <w:noProof/>
        </w:rPr>
      </w:pPr>
      <w:r>
        <w:rPr>
          <w:rFonts w:ascii="Arial" w:hAnsi="Arial" w:cs="Arial"/>
          <w:b/>
          <w:bCs/>
        </w:rPr>
        <w:tab/>
      </w:r>
    </w:p>
    <w:p w14:paraId="54CAA0C7" w14:textId="77777777" w:rsidR="006D6668" w:rsidRDefault="006D6668" w:rsidP="006D6668">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Pr>
            <w:rStyle w:val="Hyperlink"/>
            <w:rFonts w:ascii="Arial" w:hAnsi="Arial" w:cs="Arial"/>
            <w:b/>
          </w:rPr>
          <w:t>mailto:3GPPLiaison@etsi.org</w:t>
        </w:r>
      </w:hyperlink>
    </w:p>
    <w:p w14:paraId="7C86CA2E" w14:textId="77777777" w:rsidR="006D6668" w:rsidRDefault="006D6668" w:rsidP="006D6668">
      <w:pPr>
        <w:spacing w:after="60"/>
        <w:ind w:left="1985" w:hanging="1985"/>
        <w:rPr>
          <w:rFonts w:ascii="Arial" w:hAnsi="Arial" w:cs="Arial"/>
          <w:b/>
        </w:rPr>
      </w:pPr>
    </w:p>
    <w:p w14:paraId="5A074962" w14:textId="77777777" w:rsidR="006D6668" w:rsidRDefault="006D6668" w:rsidP="006D6668">
      <w:pPr>
        <w:spacing w:after="60"/>
        <w:ind w:left="1985" w:hanging="1985"/>
        <w:rPr>
          <w:rFonts w:ascii="Arial" w:hAnsi="Arial" w:cs="Arial"/>
          <w:bCs/>
        </w:rPr>
      </w:pPr>
      <w:r>
        <w:rPr>
          <w:rFonts w:ascii="Arial" w:hAnsi="Arial" w:cs="Arial"/>
          <w:b/>
        </w:rPr>
        <w:t>Attachments:</w:t>
      </w:r>
      <w:r>
        <w:rPr>
          <w:rFonts w:ascii="Arial" w:hAnsi="Arial" w:cs="Arial"/>
          <w:b/>
          <w:bCs/>
        </w:rPr>
        <w:t xml:space="preserve"> </w:t>
      </w:r>
      <w:r>
        <w:rPr>
          <w:rFonts w:ascii="Arial" w:hAnsi="Arial" w:cs="Arial"/>
          <w:b/>
          <w:bCs/>
        </w:rPr>
        <w:tab/>
        <w:t xml:space="preserve"> </w:t>
      </w:r>
    </w:p>
    <w:p w14:paraId="64972C69" w14:textId="77777777" w:rsidR="006D6668" w:rsidRDefault="006D6668" w:rsidP="006D6668">
      <w:pPr>
        <w:rPr>
          <w:rFonts w:ascii="Arial" w:hAnsi="Arial" w:cs="Arial"/>
        </w:rPr>
      </w:pPr>
    </w:p>
    <w:p w14:paraId="168FA2FF" w14:textId="77777777" w:rsidR="006D6668" w:rsidRPr="00131946" w:rsidRDefault="006D6668" w:rsidP="00131946">
      <w:pPr>
        <w:pStyle w:val="Heading1"/>
        <w:pBdr>
          <w:top w:val="single" w:sz="12" w:space="3" w:color="auto"/>
        </w:pBdr>
        <w:tabs>
          <w:tab w:val="num" w:pos="425"/>
        </w:tabs>
        <w:spacing w:after="180" w:line="240" w:lineRule="auto"/>
        <w:ind w:left="425" w:hanging="425"/>
        <w:rPr>
          <w:rFonts w:ascii="Arial" w:eastAsia="MS Mincho" w:hAnsi="Arial" w:cs="Times New Roman"/>
          <w:color w:val="auto"/>
          <w:sz w:val="36"/>
          <w:szCs w:val="20"/>
          <w:lang w:eastAsia="de-DE"/>
        </w:rPr>
      </w:pPr>
      <w:r w:rsidRPr="00131946">
        <w:rPr>
          <w:rFonts w:ascii="Arial" w:eastAsia="MS Mincho" w:hAnsi="Arial" w:cs="Times New Roman"/>
          <w:color w:val="auto"/>
          <w:sz w:val="36"/>
          <w:szCs w:val="20"/>
          <w:lang w:eastAsia="de-DE"/>
        </w:rPr>
        <w:t>Overall description</w:t>
      </w:r>
    </w:p>
    <w:p w14:paraId="584E481A" w14:textId="69E6F4A7" w:rsidR="009A1089" w:rsidRDefault="006D6668" w:rsidP="006D6668">
      <w:r>
        <w:t xml:space="preserve">RAN4 has </w:t>
      </w:r>
      <w:r w:rsidR="009A1089">
        <w:t xml:space="preserve">identified issues </w:t>
      </w:r>
      <w:r w:rsidR="00905EF6">
        <w:t>regarding</w:t>
      </w:r>
      <w:r w:rsidR="009A1089">
        <w:t xml:space="preserve"> simultaneous operation </w:t>
      </w:r>
      <w:r w:rsidR="00905EF6">
        <w:t xml:space="preserve">of NR </w:t>
      </w:r>
      <w:proofErr w:type="spellStart"/>
      <w:r w:rsidR="00905EF6">
        <w:t>RedCap</w:t>
      </w:r>
      <w:proofErr w:type="spellEnd"/>
      <w:r w:rsidR="00905EF6">
        <w:t xml:space="preserve"> UEs </w:t>
      </w:r>
      <w:r w:rsidR="009A1089">
        <w:t>with GNSS</w:t>
      </w:r>
      <w:r w:rsidR="0032271A">
        <w:t>. The issues in part stem from the frequency plan of NR bands n255 and n254</w:t>
      </w:r>
      <w:r w:rsidR="00656DCE">
        <w:t xml:space="preserve">, where their </w:t>
      </w:r>
      <w:r w:rsidR="00794A2F">
        <w:t xml:space="preserve">physical proximity to the </w:t>
      </w:r>
      <w:r w:rsidR="002F5442">
        <w:t xml:space="preserve">some GNSS </w:t>
      </w:r>
      <w:r w:rsidR="00657ABD">
        <w:t>carriers</w:t>
      </w:r>
      <w:r w:rsidR="004A627B">
        <w:t xml:space="preserve"> can lead to </w:t>
      </w:r>
      <w:r w:rsidR="001655BB">
        <w:t xml:space="preserve">a </w:t>
      </w:r>
      <w:r w:rsidR="004A627B">
        <w:t>compro</w:t>
      </w:r>
      <w:r w:rsidR="000C468D">
        <w:t xml:space="preserve">mised performance. </w:t>
      </w:r>
      <w:r w:rsidR="002C0160">
        <w:t xml:space="preserve">To avoid any field performance issues both for NR NTN </w:t>
      </w:r>
      <w:proofErr w:type="spellStart"/>
      <w:r w:rsidR="002C0160">
        <w:t>RedCap</w:t>
      </w:r>
      <w:proofErr w:type="spellEnd"/>
      <w:r w:rsidR="002C0160">
        <w:t xml:space="preserve"> as well as NR NTN non-</w:t>
      </w:r>
      <w:proofErr w:type="spellStart"/>
      <w:r w:rsidR="002C0160">
        <w:t>RedCap</w:t>
      </w:r>
      <w:proofErr w:type="spellEnd"/>
      <w:r w:rsidR="002C0160">
        <w:t xml:space="preserve"> UEs, a reliable in-device co-existence </w:t>
      </w:r>
      <w:r w:rsidR="00357A9F">
        <w:t xml:space="preserve">(IDC) </w:t>
      </w:r>
      <w:r w:rsidR="002C0160">
        <w:t>solution needs to be supported in real deployments.</w:t>
      </w:r>
      <w:r w:rsidR="00C5039A">
        <w:t xml:space="preserve"> It is RAN4 understanding that such solutions should equally apply to </w:t>
      </w:r>
      <w:r w:rsidR="0099394B">
        <w:t xml:space="preserve">NR NTN </w:t>
      </w:r>
      <w:proofErr w:type="spellStart"/>
      <w:r w:rsidR="00C5039A">
        <w:t>RedCap</w:t>
      </w:r>
      <w:proofErr w:type="spellEnd"/>
      <w:r w:rsidR="0099394B">
        <w:t>/</w:t>
      </w:r>
      <w:proofErr w:type="spellStart"/>
      <w:r w:rsidR="00333123">
        <w:t>e</w:t>
      </w:r>
      <w:r w:rsidR="00C5039A">
        <w:t>RedCap</w:t>
      </w:r>
      <w:proofErr w:type="spellEnd"/>
      <w:r w:rsidR="00333123">
        <w:t>, and NR</w:t>
      </w:r>
      <w:r w:rsidR="00C5039A">
        <w:t xml:space="preserve"> </w:t>
      </w:r>
      <w:r w:rsidR="0099394B">
        <w:t xml:space="preserve">NTN </w:t>
      </w:r>
      <w:r w:rsidR="00A45DED">
        <w:t>devices and</w:t>
      </w:r>
      <w:r w:rsidR="00333123">
        <w:t xml:space="preserve"> be applicable </w:t>
      </w:r>
      <w:r w:rsidR="00357A9F">
        <w:t xml:space="preserve">at least </w:t>
      </w:r>
      <w:r w:rsidR="00333123">
        <w:t>from Rel19 onwards.</w:t>
      </w:r>
      <w:r w:rsidR="00357A9F">
        <w:t xml:space="preserve"> The IDC solution should be valid for both mobile and static UEs.</w:t>
      </w:r>
    </w:p>
    <w:p w14:paraId="2AC91CEA" w14:textId="17AE494F" w:rsidR="006D6668" w:rsidRDefault="006D6668" w:rsidP="006D6668">
      <w:r>
        <w:t xml:space="preserve">RAN4 therefore respectfully asks RAN2 and RAN1 to ensure that NR NTN UEs can rely on an in-device co-existence solution for GNSS co-existence. </w:t>
      </w:r>
    </w:p>
    <w:p w14:paraId="0067138E" w14:textId="77777777" w:rsidR="006D6668" w:rsidRPr="00131946" w:rsidRDefault="006D6668" w:rsidP="00131946">
      <w:pPr>
        <w:pStyle w:val="Heading1"/>
        <w:pBdr>
          <w:top w:val="single" w:sz="12" w:space="3" w:color="auto"/>
        </w:pBdr>
        <w:tabs>
          <w:tab w:val="num" w:pos="425"/>
        </w:tabs>
        <w:spacing w:after="180" w:line="240" w:lineRule="auto"/>
        <w:ind w:left="425" w:hanging="425"/>
        <w:rPr>
          <w:rFonts w:ascii="Arial" w:eastAsia="MS Mincho" w:hAnsi="Arial" w:cs="Times New Roman"/>
          <w:color w:val="auto"/>
          <w:sz w:val="36"/>
          <w:szCs w:val="20"/>
          <w:lang w:eastAsia="de-DE"/>
        </w:rPr>
      </w:pPr>
      <w:r w:rsidRPr="00131946">
        <w:rPr>
          <w:rFonts w:ascii="Arial" w:eastAsia="MS Mincho" w:hAnsi="Arial" w:cs="Times New Roman"/>
          <w:color w:val="auto"/>
          <w:sz w:val="36"/>
          <w:szCs w:val="20"/>
          <w:lang w:eastAsia="de-DE"/>
        </w:rPr>
        <w:t>Actions</w:t>
      </w:r>
    </w:p>
    <w:p w14:paraId="0D65DA33" w14:textId="77777777" w:rsidR="006D6668" w:rsidRDefault="006D6668" w:rsidP="006D6668">
      <w:pPr>
        <w:spacing w:after="120"/>
        <w:ind w:left="993" w:hanging="993"/>
        <w:rPr>
          <w:rFonts w:ascii="Arial" w:hAnsi="Arial" w:cs="Arial"/>
          <w:b/>
        </w:rPr>
      </w:pPr>
      <w:r>
        <w:rPr>
          <w:rFonts w:ascii="Arial" w:hAnsi="Arial" w:cs="Arial"/>
          <w:b/>
        </w:rPr>
        <w:t xml:space="preserve">ACTIONS: </w:t>
      </w:r>
    </w:p>
    <w:p w14:paraId="17707F11" w14:textId="36DDFC57" w:rsidR="006D6668" w:rsidRDefault="006D6668" w:rsidP="006D6668">
      <w:pPr>
        <w:spacing w:after="120"/>
      </w:pPr>
      <w:r>
        <w:rPr>
          <w:rFonts w:ascii="Arial" w:hAnsi="Arial" w:cs="Arial"/>
          <w:b/>
        </w:rPr>
        <w:t xml:space="preserve">To RAN WG2 and WG1: </w:t>
      </w:r>
      <w:r>
        <w:t xml:space="preserve">RAN4 respectfully asks RAN2 and RAN1 to ensure that NR NTN UEs can rely on an in-device co-existence solution for </w:t>
      </w:r>
      <w:r w:rsidR="00A45DED">
        <w:t xml:space="preserve">NR coexistence with </w:t>
      </w:r>
      <w:r>
        <w:t>GNSS</w:t>
      </w:r>
      <w:r w:rsidR="00A45DED">
        <w:t xml:space="preserve">, </w:t>
      </w:r>
      <w:r>
        <w:t xml:space="preserve">as described above. </w:t>
      </w:r>
    </w:p>
    <w:p w14:paraId="51C77B49" w14:textId="77777777" w:rsidR="006D6668" w:rsidRDefault="006D6668" w:rsidP="006D6668"/>
    <w:p w14:paraId="6CD16FD2" w14:textId="48C26546" w:rsidR="006D6668" w:rsidRPr="00131946" w:rsidRDefault="006D6668" w:rsidP="176BD3AC">
      <w:pPr>
        <w:pStyle w:val="Heading1"/>
        <w:pBdr>
          <w:top w:val="single" w:sz="12" w:space="3" w:color="auto"/>
        </w:pBdr>
        <w:tabs>
          <w:tab w:val="num" w:pos="425"/>
        </w:tabs>
        <w:spacing w:after="180" w:line="240" w:lineRule="auto"/>
        <w:ind w:left="425" w:hanging="425"/>
        <w:rPr>
          <w:rFonts w:ascii="Arial" w:eastAsia="MS Mincho" w:hAnsi="Arial" w:cs="Times New Roman"/>
          <w:color w:val="auto"/>
          <w:sz w:val="36"/>
          <w:szCs w:val="36"/>
          <w:lang w:eastAsia="de-DE"/>
        </w:rPr>
      </w:pPr>
      <w:r w:rsidRPr="176BD3AC">
        <w:rPr>
          <w:rFonts w:ascii="Arial" w:eastAsia="MS Mincho" w:hAnsi="Arial" w:cs="Times New Roman"/>
          <w:color w:val="auto"/>
          <w:sz w:val="36"/>
          <w:szCs w:val="36"/>
          <w:lang w:eastAsia="de-DE"/>
        </w:rPr>
        <w:t>Dates of next TSG RAN WG4 meetings</w:t>
      </w:r>
    </w:p>
    <w:p w14:paraId="740A577C" w14:textId="3BD2B31A" w:rsidR="006D6668" w:rsidRDefault="006D6668" w:rsidP="4486A94F">
      <w:pPr>
        <w:tabs>
          <w:tab w:val="left" w:pos="3590"/>
          <w:tab w:val="left" w:pos="7610"/>
        </w:tabs>
        <w:spacing w:after="120"/>
        <w:ind w:left="2268" w:hanging="2268"/>
        <w:rPr>
          <w:rFonts w:ascii="Arial" w:hAnsi="Arial" w:cs="Arial"/>
        </w:rPr>
      </w:pPr>
      <w:r w:rsidRPr="4486A94F">
        <w:rPr>
          <w:rFonts w:ascii="Arial" w:hAnsi="Arial" w:cs="Arial"/>
        </w:rPr>
        <w:t>TSG-RAN4 Meeting #114</w:t>
      </w:r>
      <w:r>
        <w:tab/>
      </w:r>
      <w:r w:rsidRPr="4486A94F">
        <w:rPr>
          <w:rFonts w:ascii="Arial" w:hAnsi="Arial" w:cs="Arial"/>
        </w:rPr>
        <w:t>Feb 17 - 21, 2025</w:t>
      </w:r>
      <w:r>
        <w:tab/>
      </w:r>
      <w:r w:rsidRPr="4486A94F">
        <w:rPr>
          <w:rFonts w:ascii="Arial" w:hAnsi="Arial" w:cs="Arial"/>
        </w:rPr>
        <w:t>Athens, Greece</w:t>
      </w:r>
    </w:p>
    <w:p w14:paraId="781F68DC" w14:textId="07490752" w:rsidR="00BA1E06" w:rsidRDefault="00BA1E06" w:rsidP="4486A94F">
      <w:pPr>
        <w:tabs>
          <w:tab w:val="left" w:pos="3590"/>
          <w:tab w:val="left" w:pos="7610"/>
        </w:tabs>
        <w:spacing w:after="120"/>
        <w:ind w:left="2268" w:hanging="2268"/>
        <w:rPr>
          <w:rFonts w:ascii="Arial" w:hAnsi="Arial" w:cs="Arial"/>
        </w:rPr>
      </w:pPr>
      <w:r w:rsidRPr="4486A94F">
        <w:rPr>
          <w:rFonts w:ascii="Arial" w:hAnsi="Arial" w:cs="Arial"/>
        </w:rPr>
        <w:t>TSG-RAN4 Meeting #114bis</w:t>
      </w:r>
      <w:r>
        <w:tab/>
      </w:r>
      <w:r w:rsidR="00CB10C5" w:rsidRPr="4486A94F">
        <w:rPr>
          <w:rFonts w:ascii="Arial" w:hAnsi="Arial" w:cs="Arial"/>
        </w:rPr>
        <w:t>Apr</w:t>
      </w:r>
      <w:r w:rsidRPr="4486A94F">
        <w:rPr>
          <w:rFonts w:ascii="Arial" w:hAnsi="Arial" w:cs="Arial"/>
        </w:rPr>
        <w:t xml:space="preserve"> 7 - </w:t>
      </w:r>
      <w:r w:rsidR="00F65A21" w:rsidRPr="4486A94F">
        <w:rPr>
          <w:rFonts w:ascii="Arial" w:hAnsi="Arial" w:cs="Arial"/>
        </w:rPr>
        <w:t>1</w:t>
      </w:r>
      <w:r w:rsidRPr="4486A94F">
        <w:rPr>
          <w:rFonts w:ascii="Arial" w:hAnsi="Arial" w:cs="Arial"/>
        </w:rPr>
        <w:t>1, 2025</w:t>
      </w:r>
      <w:r>
        <w:tab/>
      </w:r>
      <w:r w:rsidRPr="4486A94F">
        <w:rPr>
          <w:rFonts w:ascii="Arial" w:hAnsi="Arial" w:cs="Arial"/>
        </w:rPr>
        <w:t>China</w:t>
      </w:r>
    </w:p>
    <w:p w14:paraId="4BCB3711" w14:textId="77777777" w:rsidR="006D6668" w:rsidRPr="00093461" w:rsidRDefault="006D6668" w:rsidP="006D6668">
      <w:pPr>
        <w:rPr>
          <w:lang w:eastAsia="ja-JP"/>
        </w:rPr>
      </w:pPr>
    </w:p>
    <w:p w14:paraId="4E0C6D4D" w14:textId="77777777" w:rsidR="006D6668" w:rsidRPr="00E465BF" w:rsidRDefault="006D6668" w:rsidP="006D6668">
      <w:pPr>
        <w:pStyle w:val="CRCoverPage"/>
        <w:spacing w:after="0"/>
        <w:ind w:left="538" w:hanging="438"/>
        <w:jc w:val="both"/>
        <w:rPr>
          <w:rFonts w:ascii="Times New Roman" w:eastAsia="MS Mincho" w:hAnsi="Times New Roman"/>
          <w:lang w:val="en-US" w:eastAsia="de-DE"/>
        </w:rPr>
      </w:pPr>
    </w:p>
    <w:p w14:paraId="5D973BC6"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781B5E" w14:textId="77777777" w:rsidR="008B3CF4" w:rsidRDefault="008B3CF4" w:rsidP="00001C9B">
      <w:pPr>
        <w:spacing w:after="0" w:line="240" w:lineRule="auto"/>
      </w:pPr>
      <w:r>
        <w:separator/>
      </w:r>
    </w:p>
  </w:endnote>
  <w:endnote w:type="continuationSeparator" w:id="0">
    <w:p w14:paraId="2ABEF071" w14:textId="77777777" w:rsidR="008B3CF4" w:rsidRDefault="008B3CF4" w:rsidP="00001C9B">
      <w:pPr>
        <w:spacing w:after="0" w:line="240" w:lineRule="auto"/>
      </w:pPr>
      <w:r>
        <w:continuationSeparator/>
      </w:r>
    </w:p>
  </w:endnote>
  <w:endnote w:type="continuationNotice" w:id="1">
    <w:p w14:paraId="761EC7C4" w14:textId="77777777" w:rsidR="008B3CF4" w:rsidRDefault="008B3C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7CC951" w14:textId="77777777" w:rsidR="008B3CF4" w:rsidRDefault="008B3CF4" w:rsidP="00001C9B">
      <w:pPr>
        <w:spacing w:after="0" w:line="240" w:lineRule="auto"/>
      </w:pPr>
      <w:r>
        <w:separator/>
      </w:r>
    </w:p>
  </w:footnote>
  <w:footnote w:type="continuationSeparator" w:id="0">
    <w:p w14:paraId="08B90C28" w14:textId="77777777" w:rsidR="008B3CF4" w:rsidRDefault="008B3CF4" w:rsidP="00001C9B">
      <w:pPr>
        <w:spacing w:after="0" w:line="240" w:lineRule="auto"/>
      </w:pPr>
      <w:r>
        <w:continuationSeparator/>
      </w:r>
    </w:p>
  </w:footnote>
  <w:footnote w:type="continuationNotice" w:id="1">
    <w:p w14:paraId="22F42E31" w14:textId="77777777" w:rsidR="008B3CF4" w:rsidRDefault="008B3CF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166309"/>
    <w:multiLevelType w:val="hybridMultilevel"/>
    <w:tmpl w:val="3F18CFAE"/>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2"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7E30194"/>
    <w:multiLevelType w:val="hybridMultilevel"/>
    <w:tmpl w:val="C8726A8A"/>
    <w:lvl w:ilvl="0" w:tplc="323A3FA4">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6"/>
  </w:num>
  <w:num w:numId="3" w16cid:durableId="1792749823">
    <w:abstractNumId w:val="11"/>
  </w:num>
  <w:num w:numId="4" w16cid:durableId="517735681">
    <w:abstractNumId w:val="5"/>
  </w:num>
  <w:num w:numId="5" w16cid:durableId="1142041724">
    <w:abstractNumId w:val="15"/>
  </w:num>
  <w:num w:numId="6" w16cid:durableId="80681869">
    <w:abstractNumId w:val="9"/>
  </w:num>
  <w:num w:numId="7" w16cid:durableId="1566528953">
    <w:abstractNumId w:val="10"/>
  </w:num>
  <w:num w:numId="8" w16cid:durableId="809788981">
    <w:abstractNumId w:val="10"/>
    <w:lvlOverride w:ilvl="0">
      <w:startOverride w:val="1"/>
    </w:lvlOverride>
  </w:num>
  <w:num w:numId="9" w16cid:durableId="1398822153">
    <w:abstractNumId w:val="10"/>
    <w:lvlOverride w:ilvl="0">
      <w:startOverride w:val="1"/>
    </w:lvlOverride>
  </w:num>
  <w:num w:numId="10" w16cid:durableId="1825466284">
    <w:abstractNumId w:val="10"/>
    <w:lvlOverride w:ilvl="0">
      <w:startOverride w:val="1"/>
    </w:lvlOverride>
  </w:num>
  <w:num w:numId="11" w16cid:durableId="1446922321">
    <w:abstractNumId w:val="9"/>
    <w:lvlOverride w:ilvl="0">
      <w:startOverride w:val="1"/>
    </w:lvlOverride>
  </w:num>
  <w:num w:numId="12" w16cid:durableId="122584543">
    <w:abstractNumId w:val="10"/>
    <w:lvlOverride w:ilvl="0">
      <w:startOverride w:val="1"/>
    </w:lvlOverride>
  </w:num>
  <w:num w:numId="13" w16cid:durableId="818807267">
    <w:abstractNumId w:val="9"/>
    <w:lvlOverride w:ilvl="0">
      <w:startOverride w:val="1"/>
    </w:lvlOverride>
  </w:num>
  <w:num w:numId="14" w16cid:durableId="883829348">
    <w:abstractNumId w:val="10"/>
    <w:lvlOverride w:ilvl="0">
      <w:startOverride w:val="1"/>
    </w:lvlOverride>
  </w:num>
  <w:num w:numId="15" w16cid:durableId="438372887">
    <w:abstractNumId w:val="17"/>
  </w:num>
  <w:num w:numId="16" w16cid:durableId="516113510">
    <w:abstractNumId w:val="4"/>
  </w:num>
  <w:num w:numId="17" w16cid:durableId="1456096507">
    <w:abstractNumId w:val="14"/>
  </w:num>
  <w:num w:numId="18" w16cid:durableId="1397970374">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8"/>
  </w:num>
  <w:num w:numId="21" w16cid:durableId="1659071369">
    <w:abstractNumId w:val="13"/>
  </w:num>
  <w:num w:numId="22" w16cid:durableId="1938362445">
    <w:abstractNumId w:val="9"/>
    <w:lvlOverride w:ilvl="0">
      <w:startOverride w:val="1"/>
    </w:lvlOverride>
  </w:num>
  <w:num w:numId="23" w16cid:durableId="913515990">
    <w:abstractNumId w:val="10"/>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2127962724">
    <w:abstractNumId w:val="12"/>
  </w:num>
  <w:num w:numId="28" w16cid:durableId="2117820015">
    <w:abstractNumId w:val="3"/>
  </w:num>
  <w:num w:numId="29" w16cid:durableId="411775096">
    <w:abstractNumId w:val="16"/>
  </w:num>
  <w:num w:numId="30" w16cid:durableId="1049035517">
    <w:abstractNumId w:val="7"/>
  </w:num>
  <w:num w:numId="31" w16cid:durableId="17842238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9D0CD3"/>
    <w:rsid w:val="00001C9B"/>
    <w:rsid w:val="000040DC"/>
    <w:rsid w:val="00011784"/>
    <w:rsid w:val="000151EF"/>
    <w:rsid w:val="000239F5"/>
    <w:rsid w:val="00032F20"/>
    <w:rsid w:val="00042A6C"/>
    <w:rsid w:val="000707DD"/>
    <w:rsid w:val="00072CCA"/>
    <w:rsid w:val="0007601C"/>
    <w:rsid w:val="00081544"/>
    <w:rsid w:val="0008612A"/>
    <w:rsid w:val="00090AB8"/>
    <w:rsid w:val="00090E18"/>
    <w:rsid w:val="000A10BC"/>
    <w:rsid w:val="000A7F53"/>
    <w:rsid w:val="000B0056"/>
    <w:rsid w:val="000C3C7B"/>
    <w:rsid w:val="000C468D"/>
    <w:rsid w:val="000D0F93"/>
    <w:rsid w:val="000E6CAC"/>
    <w:rsid w:val="000F6721"/>
    <w:rsid w:val="001044D9"/>
    <w:rsid w:val="00106416"/>
    <w:rsid w:val="00107103"/>
    <w:rsid w:val="00110177"/>
    <w:rsid w:val="00110481"/>
    <w:rsid w:val="001127C9"/>
    <w:rsid w:val="00114498"/>
    <w:rsid w:val="00115B88"/>
    <w:rsid w:val="00131946"/>
    <w:rsid w:val="00132F6A"/>
    <w:rsid w:val="00133913"/>
    <w:rsid w:val="001360C8"/>
    <w:rsid w:val="00140221"/>
    <w:rsid w:val="00140CB6"/>
    <w:rsid w:val="00145FBE"/>
    <w:rsid w:val="00153915"/>
    <w:rsid w:val="00161913"/>
    <w:rsid w:val="001642FC"/>
    <w:rsid w:val="0016496B"/>
    <w:rsid w:val="001655BB"/>
    <w:rsid w:val="001743E2"/>
    <w:rsid w:val="001745F8"/>
    <w:rsid w:val="001838CF"/>
    <w:rsid w:val="001868EE"/>
    <w:rsid w:val="001A3BA4"/>
    <w:rsid w:val="001A6D1F"/>
    <w:rsid w:val="001B1EA8"/>
    <w:rsid w:val="001B5F39"/>
    <w:rsid w:val="001E30F6"/>
    <w:rsid w:val="00203744"/>
    <w:rsid w:val="0021076A"/>
    <w:rsid w:val="002142C9"/>
    <w:rsid w:val="002160AC"/>
    <w:rsid w:val="00216379"/>
    <w:rsid w:val="00217EE5"/>
    <w:rsid w:val="00220C33"/>
    <w:rsid w:val="00224E02"/>
    <w:rsid w:val="00226E73"/>
    <w:rsid w:val="0023559D"/>
    <w:rsid w:val="00235F5C"/>
    <w:rsid w:val="0024235F"/>
    <w:rsid w:val="002433E2"/>
    <w:rsid w:val="00251851"/>
    <w:rsid w:val="00257FA3"/>
    <w:rsid w:val="0026799B"/>
    <w:rsid w:val="00277B56"/>
    <w:rsid w:val="00282A74"/>
    <w:rsid w:val="00283F5C"/>
    <w:rsid w:val="002849D4"/>
    <w:rsid w:val="00286A62"/>
    <w:rsid w:val="00294386"/>
    <w:rsid w:val="002A19F5"/>
    <w:rsid w:val="002A21EE"/>
    <w:rsid w:val="002B1974"/>
    <w:rsid w:val="002B4922"/>
    <w:rsid w:val="002B69F3"/>
    <w:rsid w:val="002C0160"/>
    <w:rsid w:val="002C22C3"/>
    <w:rsid w:val="002C2D19"/>
    <w:rsid w:val="002D10FA"/>
    <w:rsid w:val="002D4C55"/>
    <w:rsid w:val="002E5E27"/>
    <w:rsid w:val="002E6DED"/>
    <w:rsid w:val="002F5442"/>
    <w:rsid w:val="00300956"/>
    <w:rsid w:val="00305180"/>
    <w:rsid w:val="00315376"/>
    <w:rsid w:val="00317187"/>
    <w:rsid w:val="0032271A"/>
    <w:rsid w:val="0032499A"/>
    <w:rsid w:val="00333123"/>
    <w:rsid w:val="003341F7"/>
    <w:rsid w:val="00340288"/>
    <w:rsid w:val="00347FEC"/>
    <w:rsid w:val="003509DF"/>
    <w:rsid w:val="00356F45"/>
    <w:rsid w:val="00357A9F"/>
    <w:rsid w:val="00366B74"/>
    <w:rsid w:val="003774C0"/>
    <w:rsid w:val="00380FCA"/>
    <w:rsid w:val="00381F95"/>
    <w:rsid w:val="003A710A"/>
    <w:rsid w:val="003B399A"/>
    <w:rsid w:val="003B659E"/>
    <w:rsid w:val="003C275E"/>
    <w:rsid w:val="003C4FDE"/>
    <w:rsid w:val="003E1317"/>
    <w:rsid w:val="003E58DF"/>
    <w:rsid w:val="003F3B6E"/>
    <w:rsid w:val="003F7D0B"/>
    <w:rsid w:val="00404C4C"/>
    <w:rsid w:val="0041423F"/>
    <w:rsid w:val="00414F81"/>
    <w:rsid w:val="00426B9A"/>
    <w:rsid w:val="0043163B"/>
    <w:rsid w:val="00436A0F"/>
    <w:rsid w:val="00437150"/>
    <w:rsid w:val="0043750A"/>
    <w:rsid w:val="00447577"/>
    <w:rsid w:val="0047276B"/>
    <w:rsid w:val="004732E9"/>
    <w:rsid w:val="004854BB"/>
    <w:rsid w:val="004901DC"/>
    <w:rsid w:val="00494493"/>
    <w:rsid w:val="00496606"/>
    <w:rsid w:val="004A4153"/>
    <w:rsid w:val="004A4EE9"/>
    <w:rsid w:val="004A627B"/>
    <w:rsid w:val="004B1F5C"/>
    <w:rsid w:val="004D1731"/>
    <w:rsid w:val="004D6D1A"/>
    <w:rsid w:val="004E4BF5"/>
    <w:rsid w:val="004E5E66"/>
    <w:rsid w:val="004E7ADB"/>
    <w:rsid w:val="00502D4A"/>
    <w:rsid w:val="00503B4D"/>
    <w:rsid w:val="005049AE"/>
    <w:rsid w:val="00504EE9"/>
    <w:rsid w:val="00507663"/>
    <w:rsid w:val="00514E4F"/>
    <w:rsid w:val="00521576"/>
    <w:rsid w:val="005250E6"/>
    <w:rsid w:val="00542D23"/>
    <w:rsid w:val="0054442C"/>
    <w:rsid w:val="00550285"/>
    <w:rsid w:val="00557496"/>
    <w:rsid w:val="00561915"/>
    <w:rsid w:val="00562492"/>
    <w:rsid w:val="005624E0"/>
    <w:rsid w:val="00564E45"/>
    <w:rsid w:val="00572A20"/>
    <w:rsid w:val="00576FD8"/>
    <w:rsid w:val="00581618"/>
    <w:rsid w:val="005836F8"/>
    <w:rsid w:val="0058704D"/>
    <w:rsid w:val="005918FA"/>
    <w:rsid w:val="00592A86"/>
    <w:rsid w:val="005B0B3F"/>
    <w:rsid w:val="005B3029"/>
    <w:rsid w:val="005B4801"/>
    <w:rsid w:val="005C23A4"/>
    <w:rsid w:val="005D1CDF"/>
    <w:rsid w:val="005D2BB7"/>
    <w:rsid w:val="005D6FFE"/>
    <w:rsid w:val="005E29C9"/>
    <w:rsid w:val="005E4603"/>
    <w:rsid w:val="005E61A8"/>
    <w:rsid w:val="005F6419"/>
    <w:rsid w:val="0060301D"/>
    <w:rsid w:val="0060543D"/>
    <w:rsid w:val="00607579"/>
    <w:rsid w:val="006104DD"/>
    <w:rsid w:val="006130B5"/>
    <w:rsid w:val="00614DD8"/>
    <w:rsid w:val="00616E10"/>
    <w:rsid w:val="00617400"/>
    <w:rsid w:val="00622A61"/>
    <w:rsid w:val="00625DA5"/>
    <w:rsid w:val="006261C7"/>
    <w:rsid w:val="00632D29"/>
    <w:rsid w:val="0064171D"/>
    <w:rsid w:val="00654A7F"/>
    <w:rsid w:val="00656DCE"/>
    <w:rsid w:val="00657ABD"/>
    <w:rsid w:val="00664950"/>
    <w:rsid w:val="00676760"/>
    <w:rsid w:val="00683220"/>
    <w:rsid w:val="0068781B"/>
    <w:rsid w:val="00687FA0"/>
    <w:rsid w:val="006A3C11"/>
    <w:rsid w:val="006B7010"/>
    <w:rsid w:val="006C0E13"/>
    <w:rsid w:val="006C3095"/>
    <w:rsid w:val="006C41D7"/>
    <w:rsid w:val="006D6668"/>
    <w:rsid w:val="006E1151"/>
    <w:rsid w:val="006E6311"/>
    <w:rsid w:val="007145FF"/>
    <w:rsid w:val="00715B2A"/>
    <w:rsid w:val="00716308"/>
    <w:rsid w:val="007175CA"/>
    <w:rsid w:val="00733B21"/>
    <w:rsid w:val="007376A9"/>
    <w:rsid w:val="007450F1"/>
    <w:rsid w:val="007464B8"/>
    <w:rsid w:val="00747FAC"/>
    <w:rsid w:val="00751515"/>
    <w:rsid w:val="007626B7"/>
    <w:rsid w:val="0078212B"/>
    <w:rsid w:val="00784DF6"/>
    <w:rsid w:val="00785232"/>
    <w:rsid w:val="00794A2F"/>
    <w:rsid w:val="007A1CE9"/>
    <w:rsid w:val="007A2588"/>
    <w:rsid w:val="007B186C"/>
    <w:rsid w:val="007C1696"/>
    <w:rsid w:val="007C3ED0"/>
    <w:rsid w:val="007C48C4"/>
    <w:rsid w:val="007C5971"/>
    <w:rsid w:val="007D751D"/>
    <w:rsid w:val="007E42DC"/>
    <w:rsid w:val="007E4668"/>
    <w:rsid w:val="007F38B5"/>
    <w:rsid w:val="007F54B9"/>
    <w:rsid w:val="00806A76"/>
    <w:rsid w:val="00811C9D"/>
    <w:rsid w:val="008157FD"/>
    <w:rsid w:val="00816C80"/>
    <w:rsid w:val="0081797B"/>
    <w:rsid w:val="00827355"/>
    <w:rsid w:val="0082796A"/>
    <w:rsid w:val="00830ED9"/>
    <w:rsid w:val="0083707A"/>
    <w:rsid w:val="00841BCD"/>
    <w:rsid w:val="00847264"/>
    <w:rsid w:val="00851A8E"/>
    <w:rsid w:val="0085365B"/>
    <w:rsid w:val="00853899"/>
    <w:rsid w:val="008674DB"/>
    <w:rsid w:val="00876C4E"/>
    <w:rsid w:val="008826C1"/>
    <w:rsid w:val="00883DFD"/>
    <w:rsid w:val="0088509F"/>
    <w:rsid w:val="008868D8"/>
    <w:rsid w:val="00891AE4"/>
    <w:rsid w:val="0089210C"/>
    <w:rsid w:val="00893D2E"/>
    <w:rsid w:val="008963A2"/>
    <w:rsid w:val="008A1BF7"/>
    <w:rsid w:val="008A5B0E"/>
    <w:rsid w:val="008B0961"/>
    <w:rsid w:val="008B252B"/>
    <w:rsid w:val="008B3CF4"/>
    <w:rsid w:val="008B649B"/>
    <w:rsid w:val="008B68BF"/>
    <w:rsid w:val="008C39F7"/>
    <w:rsid w:val="008C425A"/>
    <w:rsid w:val="008D55D6"/>
    <w:rsid w:val="008F17BC"/>
    <w:rsid w:val="008F786B"/>
    <w:rsid w:val="0090091A"/>
    <w:rsid w:val="0090373B"/>
    <w:rsid w:val="009042BD"/>
    <w:rsid w:val="00904FE4"/>
    <w:rsid w:val="0090501D"/>
    <w:rsid w:val="00905EF6"/>
    <w:rsid w:val="00913CDB"/>
    <w:rsid w:val="00927740"/>
    <w:rsid w:val="00933152"/>
    <w:rsid w:val="00934BD5"/>
    <w:rsid w:val="00936159"/>
    <w:rsid w:val="00953239"/>
    <w:rsid w:val="00977366"/>
    <w:rsid w:val="00977E1D"/>
    <w:rsid w:val="00981820"/>
    <w:rsid w:val="00983430"/>
    <w:rsid w:val="0099394B"/>
    <w:rsid w:val="009A1089"/>
    <w:rsid w:val="009B0573"/>
    <w:rsid w:val="009B4356"/>
    <w:rsid w:val="009B7B4B"/>
    <w:rsid w:val="009B7C21"/>
    <w:rsid w:val="009D0CD3"/>
    <w:rsid w:val="009D5E9E"/>
    <w:rsid w:val="009D5F9B"/>
    <w:rsid w:val="009E4E6E"/>
    <w:rsid w:val="009E5FA9"/>
    <w:rsid w:val="009E798B"/>
    <w:rsid w:val="009E7EDE"/>
    <w:rsid w:val="00A00D06"/>
    <w:rsid w:val="00A04992"/>
    <w:rsid w:val="00A147AA"/>
    <w:rsid w:val="00A160A0"/>
    <w:rsid w:val="00A21D71"/>
    <w:rsid w:val="00A22B78"/>
    <w:rsid w:val="00A246F7"/>
    <w:rsid w:val="00A25AE5"/>
    <w:rsid w:val="00A26442"/>
    <w:rsid w:val="00A351DB"/>
    <w:rsid w:val="00A37002"/>
    <w:rsid w:val="00A41310"/>
    <w:rsid w:val="00A4355E"/>
    <w:rsid w:val="00A43834"/>
    <w:rsid w:val="00A45DED"/>
    <w:rsid w:val="00A51DB5"/>
    <w:rsid w:val="00A520D9"/>
    <w:rsid w:val="00A64DA0"/>
    <w:rsid w:val="00A805EF"/>
    <w:rsid w:val="00A92BCD"/>
    <w:rsid w:val="00AA1B0E"/>
    <w:rsid w:val="00AA47B6"/>
    <w:rsid w:val="00AA5418"/>
    <w:rsid w:val="00AA5E70"/>
    <w:rsid w:val="00AC163B"/>
    <w:rsid w:val="00AC5CA7"/>
    <w:rsid w:val="00AC6058"/>
    <w:rsid w:val="00AE2BA5"/>
    <w:rsid w:val="00AE56B1"/>
    <w:rsid w:val="00AE6D09"/>
    <w:rsid w:val="00AF7A7C"/>
    <w:rsid w:val="00AF7F9A"/>
    <w:rsid w:val="00B02070"/>
    <w:rsid w:val="00B1764A"/>
    <w:rsid w:val="00B26A7D"/>
    <w:rsid w:val="00B408B6"/>
    <w:rsid w:val="00B542DA"/>
    <w:rsid w:val="00B66B7D"/>
    <w:rsid w:val="00B7106E"/>
    <w:rsid w:val="00B73862"/>
    <w:rsid w:val="00B73F43"/>
    <w:rsid w:val="00B75BBF"/>
    <w:rsid w:val="00B81CDC"/>
    <w:rsid w:val="00BA1E06"/>
    <w:rsid w:val="00BA308C"/>
    <w:rsid w:val="00BA6B66"/>
    <w:rsid w:val="00BA6E48"/>
    <w:rsid w:val="00BB090D"/>
    <w:rsid w:val="00BC6BE4"/>
    <w:rsid w:val="00BD1A69"/>
    <w:rsid w:val="00BE0AF6"/>
    <w:rsid w:val="00BE1F03"/>
    <w:rsid w:val="00BE58A7"/>
    <w:rsid w:val="00BF2218"/>
    <w:rsid w:val="00C0426B"/>
    <w:rsid w:val="00C045DF"/>
    <w:rsid w:val="00C149DD"/>
    <w:rsid w:val="00C26D43"/>
    <w:rsid w:val="00C312DC"/>
    <w:rsid w:val="00C35173"/>
    <w:rsid w:val="00C429B1"/>
    <w:rsid w:val="00C46548"/>
    <w:rsid w:val="00C5039A"/>
    <w:rsid w:val="00C55691"/>
    <w:rsid w:val="00C574D5"/>
    <w:rsid w:val="00C65752"/>
    <w:rsid w:val="00C73F32"/>
    <w:rsid w:val="00C87462"/>
    <w:rsid w:val="00CA180C"/>
    <w:rsid w:val="00CA6224"/>
    <w:rsid w:val="00CB10C5"/>
    <w:rsid w:val="00CB22B2"/>
    <w:rsid w:val="00CC3EE2"/>
    <w:rsid w:val="00CC4E73"/>
    <w:rsid w:val="00CC4F0A"/>
    <w:rsid w:val="00CD2C5E"/>
    <w:rsid w:val="00CD7492"/>
    <w:rsid w:val="00CE3A6B"/>
    <w:rsid w:val="00CE3CE1"/>
    <w:rsid w:val="00CF3C31"/>
    <w:rsid w:val="00CF7ED9"/>
    <w:rsid w:val="00D00211"/>
    <w:rsid w:val="00D006D1"/>
    <w:rsid w:val="00D025AE"/>
    <w:rsid w:val="00D06088"/>
    <w:rsid w:val="00D06309"/>
    <w:rsid w:val="00D16E7E"/>
    <w:rsid w:val="00D351EA"/>
    <w:rsid w:val="00D40288"/>
    <w:rsid w:val="00D43403"/>
    <w:rsid w:val="00D50A6B"/>
    <w:rsid w:val="00D5270B"/>
    <w:rsid w:val="00D62E71"/>
    <w:rsid w:val="00D6430D"/>
    <w:rsid w:val="00D66188"/>
    <w:rsid w:val="00D731F6"/>
    <w:rsid w:val="00D740CA"/>
    <w:rsid w:val="00D816F8"/>
    <w:rsid w:val="00D828C2"/>
    <w:rsid w:val="00D8560E"/>
    <w:rsid w:val="00D85728"/>
    <w:rsid w:val="00D95481"/>
    <w:rsid w:val="00D96E40"/>
    <w:rsid w:val="00DC7A13"/>
    <w:rsid w:val="00DD13D3"/>
    <w:rsid w:val="00DE7064"/>
    <w:rsid w:val="00DF2997"/>
    <w:rsid w:val="00E10BC4"/>
    <w:rsid w:val="00E1415D"/>
    <w:rsid w:val="00E213BD"/>
    <w:rsid w:val="00E233D3"/>
    <w:rsid w:val="00E265AF"/>
    <w:rsid w:val="00E323E9"/>
    <w:rsid w:val="00E32FB6"/>
    <w:rsid w:val="00E34018"/>
    <w:rsid w:val="00E437D2"/>
    <w:rsid w:val="00E43BF9"/>
    <w:rsid w:val="00E46823"/>
    <w:rsid w:val="00E47BC6"/>
    <w:rsid w:val="00E51930"/>
    <w:rsid w:val="00E54B08"/>
    <w:rsid w:val="00E54B70"/>
    <w:rsid w:val="00E55751"/>
    <w:rsid w:val="00E5652C"/>
    <w:rsid w:val="00E7398E"/>
    <w:rsid w:val="00E82B94"/>
    <w:rsid w:val="00E87217"/>
    <w:rsid w:val="00EA2311"/>
    <w:rsid w:val="00EB61A5"/>
    <w:rsid w:val="00EB7CAD"/>
    <w:rsid w:val="00EC7BC3"/>
    <w:rsid w:val="00ED7600"/>
    <w:rsid w:val="00EF1B48"/>
    <w:rsid w:val="00EF6073"/>
    <w:rsid w:val="00EF698B"/>
    <w:rsid w:val="00F05243"/>
    <w:rsid w:val="00F100F7"/>
    <w:rsid w:val="00F1362C"/>
    <w:rsid w:val="00F318DB"/>
    <w:rsid w:val="00F31F07"/>
    <w:rsid w:val="00F32DA2"/>
    <w:rsid w:val="00F414F1"/>
    <w:rsid w:val="00F508B8"/>
    <w:rsid w:val="00F53E67"/>
    <w:rsid w:val="00F65A21"/>
    <w:rsid w:val="00F72CB1"/>
    <w:rsid w:val="00F74E46"/>
    <w:rsid w:val="00F8215E"/>
    <w:rsid w:val="00F824F5"/>
    <w:rsid w:val="00F90FAB"/>
    <w:rsid w:val="00F9374D"/>
    <w:rsid w:val="00FA371E"/>
    <w:rsid w:val="00FA45C3"/>
    <w:rsid w:val="00FB6924"/>
    <w:rsid w:val="00FC29B9"/>
    <w:rsid w:val="00FC449E"/>
    <w:rsid w:val="00FC6FD3"/>
    <w:rsid w:val="00FE06B6"/>
    <w:rsid w:val="00FE305C"/>
    <w:rsid w:val="00FE76DB"/>
    <w:rsid w:val="00FF0301"/>
    <w:rsid w:val="00FF7E15"/>
    <w:rsid w:val="176BD3AC"/>
    <w:rsid w:val="24CD8862"/>
    <w:rsid w:val="3399B964"/>
    <w:rsid w:val="4486A94F"/>
    <w:rsid w:val="626417C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EC79F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6668"/>
    <w:rPr>
      <w:rFonts w:ascii="Times New Roman" w:hAnsi="Times New Roman"/>
      <w:sz w:val="20"/>
      <w:lang w:val="en-GB"/>
    </w:rPr>
  </w:style>
  <w:style w:type="paragraph" w:styleId="Heading1">
    <w:name w:val="heading 1"/>
    <w:aliases w:val="H1,h1,NMP Heading 1,app heading 1,l1,Memo Heading 1,h11,h12,h13,h14,h15,h16,h17,h111,h121,h131,h141,h151,h161,h18,h112,h122,h132,h142,h152,h162,h19,h113,h123,h133,h143,h153,h163,1,Section of paper,Heading 1_a"/>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customStyle="1" w:styleId="TAC">
    <w:name w:val="TAC"/>
    <w:basedOn w:val="Normal"/>
    <w:link w:val="TACChar"/>
    <w:qFormat/>
    <w:rsid w:val="005E29C9"/>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5E29C9"/>
    <w:rPr>
      <w:rFonts w:ascii="Arial" w:eastAsia="Times New Roman" w:hAnsi="Arial" w:cs="Times New Roman"/>
      <w:sz w:val="18"/>
      <w:szCs w:val="20"/>
      <w:lang w:val="en-GB" w:eastAsia="en-GB"/>
    </w:rPr>
  </w:style>
  <w:style w:type="paragraph" w:customStyle="1" w:styleId="TAH">
    <w:name w:val="TAH"/>
    <w:basedOn w:val="TAC"/>
    <w:link w:val="TAHCar"/>
    <w:qFormat/>
    <w:rsid w:val="005E29C9"/>
    <w:rPr>
      <w:b/>
    </w:rPr>
  </w:style>
  <w:style w:type="character" w:customStyle="1" w:styleId="TAHCar">
    <w:name w:val="TAH Car"/>
    <w:link w:val="TAH"/>
    <w:qFormat/>
    <w:rsid w:val="005E29C9"/>
    <w:rPr>
      <w:rFonts w:ascii="Arial" w:eastAsia="Times New Roman" w:hAnsi="Arial" w:cs="Times New Roman"/>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27355"/>
    <w:pPr>
      <w:spacing w:after="120" w:line="240" w:lineRule="auto"/>
    </w:pPr>
    <w:rPr>
      <w:rFonts w:eastAsia="Times New Roman" w:cs="Times New Roman"/>
      <w:szCs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27355"/>
    <w:rPr>
      <w:rFonts w:ascii="Times New Roman" w:eastAsia="Times New Roman" w:hAnsi="Times New Roman" w:cs="Times New Roman"/>
      <w:sz w:val="20"/>
      <w:szCs w:val="20"/>
      <w:lang w:val="en-GB"/>
    </w:rPr>
  </w:style>
  <w:style w:type="paragraph" w:customStyle="1" w:styleId="CRCoverPage">
    <w:name w:val="CR Cover Page"/>
    <w:link w:val="CRCoverPageChar"/>
    <w:qFormat/>
    <w:rsid w:val="006D6668"/>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6D6668"/>
    <w:rPr>
      <w:rFonts w:ascii="Arial" w:eastAsia="Times New Roman" w:hAnsi="Arial" w:cs="Times New Roman"/>
      <w:sz w:val="20"/>
      <w:szCs w:val="20"/>
      <w:lang w:val="en-GB"/>
    </w:rPr>
  </w:style>
  <w:style w:type="character" w:styleId="Mention">
    <w:name w:val="Mention"/>
    <w:basedOn w:val="DefaultParagraphFont"/>
    <w:uiPriority w:val="99"/>
    <w:unhideWhenUsed/>
    <w:rsid w:val="00B26A7D"/>
    <w:rPr>
      <w:color w:val="2B579A"/>
      <w:shd w:val="clear" w:color="auto" w:fill="E1DFDD"/>
    </w:rPr>
  </w:style>
  <w:style w:type="paragraph" w:styleId="Revision">
    <w:name w:val="Revision"/>
    <w:hidden/>
    <w:uiPriority w:val="99"/>
    <w:semiHidden/>
    <w:rsid w:val="00656DCE"/>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0479505">
      <w:bodyDiv w:val="1"/>
      <w:marLeft w:val="0"/>
      <w:marRight w:val="0"/>
      <w:marTop w:val="0"/>
      <w:marBottom w:val="0"/>
      <w:divBdr>
        <w:top w:val="none" w:sz="0" w:space="0" w:color="auto"/>
        <w:left w:val="none" w:sz="0" w:space="0" w:color="auto"/>
        <w:bottom w:val="none" w:sz="0" w:space="0" w:color="auto"/>
        <w:right w:val="none" w:sz="0" w:space="0" w:color="auto"/>
      </w:divBdr>
    </w:div>
    <w:div w:id="627971956">
      <w:bodyDiv w:val="1"/>
      <w:marLeft w:val="0"/>
      <w:marRight w:val="0"/>
      <w:marTop w:val="0"/>
      <w:marBottom w:val="0"/>
      <w:divBdr>
        <w:top w:val="none" w:sz="0" w:space="0" w:color="auto"/>
        <w:left w:val="none" w:sz="0" w:space="0" w:color="auto"/>
        <w:bottom w:val="none" w:sz="0" w:space="0" w:color="auto"/>
        <w:right w:val="none" w:sz="0" w:space="0" w:color="auto"/>
      </w:divBdr>
    </w:div>
    <w:div w:id="1750729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1D363-9623-4EEC-B610-5D08989EBFFB}">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2081</Words>
  <Characters>11862</Characters>
  <Application>Microsoft Office Word</Application>
  <DocSecurity>0</DocSecurity>
  <Lines>98</Lines>
  <Paragraphs>27</Paragraphs>
  <ScaleCrop>false</ScaleCrop>
  <Company/>
  <LinksUpToDate>false</LinksUpToDate>
  <CharactersWithSpaces>13916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2024-11-08T16:48:00Z</dcterms:created>
  <dcterms:modified xsi:type="dcterms:W3CDTF">2024-11-08T16:48:00Z</dcterms:modified>
</cp:coreProperties>
</file>